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89EF" w14:textId="77777777" w:rsidR="00137690" w:rsidRDefault="00137690" w:rsidP="000D4176">
      <w:pPr>
        <w:jc w:val="both"/>
        <w:rPr>
          <w:rFonts w:ascii="Futura Round" w:hAnsi="Futura Round"/>
          <w:b/>
          <w:bCs/>
        </w:rPr>
      </w:pPr>
    </w:p>
    <w:p w14:paraId="027AE013" w14:textId="21D8FD46" w:rsidR="005A1313" w:rsidRPr="00137690" w:rsidRDefault="005A1313" w:rsidP="000D4176">
      <w:pPr>
        <w:jc w:val="both"/>
        <w:rPr>
          <w:rFonts w:ascii="Futura Round" w:hAnsi="Futura Round"/>
          <w:sz w:val="24"/>
          <w:szCs w:val="24"/>
        </w:rPr>
      </w:pPr>
      <w:r w:rsidRPr="00137690">
        <w:rPr>
          <w:rFonts w:ascii="Futura Round" w:hAnsi="Futura Round"/>
          <w:b/>
          <w:bCs/>
          <w:sz w:val="24"/>
          <w:szCs w:val="24"/>
        </w:rPr>
        <w:t xml:space="preserve">Zaragoza y Aragón mantienen un buen nivel en indicadores estratégicos </w:t>
      </w:r>
      <w:r w:rsidR="006D049D">
        <w:rPr>
          <w:rFonts w:ascii="Futura Round" w:hAnsi="Futura Round"/>
          <w:b/>
          <w:bCs/>
          <w:sz w:val="24"/>
          <w:szCs w:val="24"/>
        </w:rPr>
        <w:t>en</w:t>
      </w:r>
      <w:r w:rsidRPr="00137690">
        <w:rPr>
          <w:rFonts w:ascii="Futura Round" w:hAnsi="Futura Round"/>
          <w:b/>
          <w:bCs/>
          <w:sz w:val="24"/>
          <w:szCs w:val="24"/>
        </w:rPr>
        <w:t xml:space="preserve"> 2023, aunque persisten desafíos </w:t>
      </w:r>
      <w:r w:rsidR="006E1A89">
        <w:rPr>
          <w:rFonts w:ascii="Futura Round" w:hAnsi="Futura Round"/>
          <w:b/>
          <w:bCs/>
          <w:sz w:val="24"/>
          <w:szCs w:val="24"/>
        </w:rPr>
        <w:t xml:space="preserve">para </w:t>
      </w:r>
      <w:r w:rsidR="006D049D">
        <w:rPr>
          <w:rFonts w:ascii="Futura Round" w:hAnsi="Futura Round"/>
          <w:b/>
          <w:bCs/>
          <w:sz w:val="24"/>
          <w:szCs w:val="24"/>
        </w:rPr>
        <w:t xml:space="preserve">superar las brechas </w:t>
      </w:r>
      <w:r w:rsidR="00470A79">
        <w:rPr>
          <w:rFonts w:ascii="Futura Round" w:hAnsi="Futura Round"/>
          <w:b/>
          <w:bCs/>
          <w:sz w:val="24"/>
          <w:szCs w:val="24"/>
        </w:rPr>
        <w:t>en la población</w:t>
      </w:r>
    </w:p>
    <w:p w14:paraId="3A43FE8C" w14:textId="02C710A0" w:rsidR="009B6EDD" w:rsidRPr="00137690" w:rsidRDefault="009B6EDD" w:rsidP="000D4176">
      <w:pPr>
        <w:jc w:val="both"/>
        <w:rPr>
          <w:rFonts w:ascii="Futura Round" w:hAnsi="Futura Round"/>
          <w:i/>
          <w:iCs/>
          <w:u w:val="single"/>
        </w:rPr>
      </w:pPr>
      <w:r>
        <w:rPr>
          <w:rFonts w:ascii="Futura Round" w:hAnsi="Futura Round"/>
          <w:i/>
          <w:iCs/>
          <w:u w:val="single"/>
        </w:rPr>
        <w:t>El Observatorio</w:t>
      </w:r>
      <w:r w:rsidR="0042463B">
        <w:rPr>
          <w:rFonts w:ascii="Futura Round" w:hAnsi="Futura Round"/>
          <w:i/>
          <w:iCs/>
          <w:u w:val="single"/>
        </w:rPr>
        <w:t xml:space="preserve"> Urbano de Ebrópolis presenta el Informe anual de Indicadores 2023 con avance de </w:t>
      </w:r>
      <w:r>
        <w:rPr>
          <w:rFonts w:ascii="Futura Round" w:hAnsi="Futura Round"/>
          <w:i/>
          <w:iCs/>
          <w:u w:val="single"/>
        </w:rPr>
        <w:t>datos de 2024</w:t>
      </w:r>
    </w:p>
    <w:p w14:paraId="06FBC715" w14:textId="13112CB8" w:rsidR="005A1313" w:rsidRPr="00A66118" w:rsidRDefault="005A1313" w:rsidP="000D4176">
      <w:pPr>
        <w:jc w:val="both"/>
        <w:rPr>
          <w:rFonts w:ascii="Futura Round" w:hAnsi="Futura Round"/>
        </w:rPr>
      </w:pPr>
      <w:r w:rsidRPr="001B78A2">
        <w:rPr>
          <w:rFonts w:ascii="Futura Round" w:hAnsi="Futura Round"/>
          <w:b/>
          <w:bCs/>
          <w:sz w:val="20"/>
          <w:szCs w:val="20"/>
        </w:rPr>
        <w:t>Zaragoza,</w:t>
      </w:r>
      <w:r w:rsidR="00263B69" w:rsidRPr="001B78A2">
        <w:rPr>
          <w:rFonts w:ascii="Futura Round" w:hAnsi="Futura Round"/>
          <w:b/>
          <w:bCs/>
          <w:sz w:val="20"/>
          <w:szCs w:val="20"/>
        </w:rPr>
        <w:t xml:space="preserve"> </w:t>
      </w:r>
      <w:r w:rsidR="0042463B">
        <w:rPr>
          <w:rFonts w:ascii="Futura Round" w:hAnsi="Futura Round"/>
          <w:b/>
          <w:bCs/>
          <w:sz w:val="20"/>
          <w:szCs w:val="20"/>
        </w:rPr>
        <w:t>28</w:t>
      </w:r>
      <w:r w:rsidR="00767A69" w:rsidRPr="001B78A2">
        <w:rPr>
          <w:rFonts w:ascii="Futura Round" w:hAnsi="Futura Round"/>
          <w:b/>
          <w:bCs/>
          <w:sz w:val="20"/>
          <w:szCs w:val="20"/>
        </w:rPr>
        <w:t xml:space="preserve"> de marzo</w:t>
      </w:r>
      <w:r w:rsidR="00767A69" w:rsidRPr="004851D1">
        <w:rPr>
          <w:rFonts w:ascii="Futura Round" w:hAnsi="Futura Round"/>
          <w:b/>
          <w:bCs/>
        </w:rPr>
        <w:t xml:space="preserve"> </w:t>
      </w:r>
      <w:r w:rsidRPr="004851D1">
        <w:rPr>
          <w:rFonts w:ascii="Futura Round" w:hAnsi="Futura Round"/>
        </w:rPr>
        <w:t xml:space="preserve">– </w:t>
      </w:r>
      <w:r w:rsidRPr="00A66118">
        <w:rPr>
          <w:rFonts w:ascii="Futura Round" w:hAnsi="Futura Round"/>
        </w:rPr>
        <w:t xml:space="preserve">Zaragoza y Aragón continúan mostrando un comportamiento sólido en sectores estratégicos respecto al conjunto de España, con avances notables en movilidad sostenible, calidad del aire y energías renovables. Así lo recoge el último </w:t>
      </w:r>
      <w:r w:rsidRPr="00C05599">
        <w:rPr>
          <w:rFonts w:ascii="Futura Round" w:hAnsi="Futura Round"/>
        </w:rPr>
        <w:t>Informe de Indicadores del Observatorio Urbano de Ebrópolis</w:t>
      </w:r>
      <w:r w:rsidRPr="00A66118">
        <w:rPr>
          <w:rFonts w:ascii="Futura Round" w:hAnsi="Futura Round"/>
        </w:rPr>
        <w:t>, que analiza datos de 2023 en diversas áreas clave como el desarrollo territorial, la cohesión social, el medioambiente, la innovación y la gobernanza.</w:t>
      </w:r>
    </w:p>
    <w:p w14:paraId="62EE152B" w14:textId="71FF2944" w:rsidR="00FB5D44" w:rsidRPr="00A66118" w:rsidRDefault="005A1313" w:rsidP="000D4176">
      <w:pPr>
        <w:jc w:val="both"/>
        <w:rPr>
          <w:rFonts w:ascii="Futura Round" w:hAnsi="Futura Round"/>
        </w:rPr>
      </w:pPr>
      <w:r w:rsidRPr="00A66118">
        <w:rPr>
          <w:rFonts w:ascii="Futura Round" w:hAnsi="Futura Round"/>
        </w:rPr>
        <w:t>E</w:t>
      </w:r>
      <w:r w:rsidR="005013DD" w:rsidRPr="00A66118">
        <w:rPr>
          <w:rFonts w:ascii="Futura Round" w:hAnsi="Futura Round"/>
        </w:rPr>
        <w:t>ste</w:t>
      </w:r>
      <w:r w:rsidRPr="00A66118">
        <w:rPr>
          <w:rFonts w:ascii="Futura Round" w:hAnsi="Futura Round"/>
        </w:rPr>
        <w:t xml:space="preserve"> inform</w:t>
      </w:r>
      <w:r w:rsidR="00263B69">
        <w:rPr>
          <w:rFonts w:ascii="Futura Round" w:hAnsi="Futura Round"/>
        </w:rPr>
        <w:t xml:space="preserve">e, presentado esta mañana </w:t>
      </w:r>
      <w:r w:rsidR="00D83FCF">
        <w:rPr>
          <w:rFonts w:ascii="Futura Round" w:hAnsi="Futura Round"/>
        </w:rPr>
        <w:t xml:space="preserve">por Carlos Gimeno, </w:t>
      </w:r>
      <w:r w:rsidR="006E498A" w:rsidRPr="006E498A">
        <w:rPr>
          <w:rFonts w:ascii="Futura Round" w:hAnsi="Futura Round"/>
        </w:rPr>
        <w:t>consejero de Economía, Transformación Digital y Transparencia</w:t>
      </w:r>
      <w:r w:rsidR="00B14E6F">
        <w:rPr>
          <w:rFonts w:ascii="Futura Round" w:hAnsi="Futura Round"/>
        </w:rPr>
        <w:t xml:space="preserve"> del Ayuntamiento de Zaragoza y </w:t>
      </w:r>
      <w:r w:rsidR="00D83FCF">
        <w:rPr>
          <w:rFonts w:ascii="Futura Round" w:hAnsi="Futura Round"/>
        </w:rPr>
        <w:t>presidente de Ebrópolis, y Patricia Cavero</w:t>
      </w:r>
      <w:r w:rsidR="00671787">
        <w:rPr>
          <w:rFonts w:ascii="Futura Round" w:hAnsi="Futura Round"/>
        </w:rPr>
        <w:t>, coordinadora general</w:t>
      </w:r>
      <w:r w:rsidR="00B14E6F">
        <w:rPr>
          <w:rFonts w:ascii="Futura Round" w:hAnsi="Futura Round"/>
        </w:rPr>
        <w:t xml:space="preserve"> de la asociación</w:t>
      </w:r>
      <w:r w:rsidR="00671787">
        <w:rPr>
          <w:rFonts w:ascii="Futura Round" w:hAnsi="Futura Round"/>
        </w:rPr>
        <w:t>,</w:t>
      </w:r>
      <w:r w:rsidR="00E50EBE" w:rsidRPr="00A66118">
        <w:rPr>
          <w:rFonts w:ascii="Futura Round" w:hAnsi="Futura Round"/>
        </w:rPr>
        <w:t xml:space="preserve"> </w:t>
      </w:r>
      <w:r w:rsidRPr="00A66118">
        <w:rPr>
          <w:rFonts w:ascii="Futura Round" w:hAnsi="Futura Round"/>
        </w:rPr>
        <w:t>permite evaluar la evolución de la ciudad y su entorno a través de un centenar y medio de indicadores</w:t>
      </w:r>
      <w:r w:rsidR="00EB3137" w:rsidRPr="00A66118">
        <w:rPr>
          <w:rFonts w:ascii="Futura Round" w:hAnsi="Futura Round"/>
        </w:rPr>
        <w:t xml:space="preserve"> </w:t>
      </w:r>
      <w:r w:rsidR="0027020B" w:rsidRPr="00A66118">
        <w:rPr>
          <w:rFonts w:ascii="Futura Round" w:hAnsi="Futura Round"/>
        </w:rPr>
        <w:t>referidos a la Estrategia Zaragoza +20 y a la Agenda Urbana de Zaragoza</w:t>
      </w:r>
      <w:r w:rsidRPr="00A66118">
        <w:rPr>
          <w:rFonts w:ascii="Futura Round" w:hAnsi="Futura Round"/>
        </w:rPr>
        <w:t xml:space="preserve">. </w:t>
      </w:r>
    </w:p>
    <w:p w14:paraId="47724B45" w14:textId="5BFD82A4" w:rsidR="007E0400" w:rsidRPr="00A66118" w:rsidRDefault="007E0400" w:rsidP="000D4176">
      <w:pPr>
        <w:jc w:val="both"/>
        <w:rPr>
          <w:rFonts w:ascii="Futura Round" w:hAnsi="Futura Round"/>
        </w:rPr>
      </w:pPr>
      <w:r w:rsidRPr="00A66118">
        <w:rPr>
          <w:rFonts w:ascii="Futura Round" w:hAnsi="Futura Round"/>
        </w:rPr>
        <w:t xml:space="preserve">Los resultados muestran un progreso significativo en movilidad sostenible, con un incremento del uso del transporte público y una mayor extensión de carriles bici y sendas ciclables. Además, Zaragoza avanza en su compromiso como una de las 100 ciudades climáticamente neutras para 2030, que se traduce en la electrificación del transporte público y el fomento de la movilidad eléctrica, con la puesta en marcha del nuevo servicio </w:t>
      </w:r>
      <w:proofErr w:type="spellStart"/>
      <w:r w:rsidRPr="00A66118">
        <w:rPr>
          <w:rFonts w:ascii="Futura Round" w:hAnsi="Futura Round"/>
        </w:rPr>
        <w:t>bizi</w:t>
      </w:r>
      <w:proofErr w:type="spellEnd"/>
      <w:r w:rsidR="0051546E">
        <w:rPr>
          <w:rFonts w:ascii="Futura Round" w:hAnsi="Futura Round"/>
        </w:rPr>
        <w:t>, s</w:t>
      </w:r>
      <w:r w:rsidR="00FB5D44" w:rsidRPr="00A66118">
        <w:rPr>
          <w:rFonts w:ascii="Futura Round" w:hAnsi="Futura Round"/>
        </w:rPr>
        <w:t xml:space="preserve">i bien es necesario mejorar la cobertura en </w:t>
      </w:r>
      <w:r w:rsidR="00A02F4F" w:rsidRPr="00A66118">
        <w:rPr>
          <w:rFonts w:ascii="Futura Round" w:hAnsi="Futura Round"/>
        </w:rPr>
        <w:t>algunos barrios e integrar en mayor medida las localidades del entorno.</w:t>
      </w:r>
      <w:r w:rsidR="00414806">
        <w:rPr>
          <w:rFonts w:ascii="Futura Round" w:hAnsi="Futura Round"/>
        </w:rPr>
        <w:t xml:space="preserve"> Así, el número de viajes por habitante en transporte público se incrementa </w:t>
      </w:r>
      <w:r w:rsidR="00D05F33">
        <w:rPr>
          <w:rFonts w:ascii="Futura Round" w:hAnsi="Futura Round"/>
        </w:rPr>
        <w:t>a 176,2 en 2023, frente a los 151,7 de 2022</w:t>
      </w:r>
      <w:r w:rsidR="003629DA">
        <w:rPr>
          <w:rFonts w:ascii="Futura Round" w:hAnsi="Futura Round"/>
        </w:rPr>
        <w:t>.</w:t>
      </w:r>
    </w:p>
    <w:p w14:paraId="20B9F073" w14:textId="03461851" w:rsidR="005A1313" w:rsidRPr="00A66118" w:rsidRDefault="00577BEF" w:rsidP="000D4176">
      <w:pPr>
        <w:jc w:val="both"/>
        <w:rPr>
          <w:rFonts w:ascii="Futura Round" w:hAnsi="Futura Round"/>
        </w:rPr>
      </w:pPr>
      <w:r w:rsidRPr="00A66118">
        <w:rPr>
          <w:rFonts w:ascii="Futura Round" w:hAnsi="Futura Round"/>
        </w:rPr>
        <w:t>En cuanto a los indicadores relativos a coh</w:t>
      </w:r>
      <w:r w:rsidR="00217742" w:rsidRPr="00A66118">
        <w:rPr>
          <w:rFonts w:ascii="Futura Round" w:hAnsi="Futura Round"/>
        </w:rPr>
        <w:t>e</w:t>
      </w:r>
      <w:r w:rsidRPr="00A66118">
        <w:rPr>
          <w:rFonts w:ascii="Futura Round" w:hAnsi="Futura Round"/>
        </w:rPr>
        <w:t xml:space="preserve">sión </w:t>
      </w:r>
      <w:r w:rsidR="00F9043C" w:rsidRPr="00A66118">
        <w:rPr>
          <w:rFonts w:ascii="Futura Round" w:hAnsi="Futura Round"/>
        </w:rPr>
        <w:t xml:space="preserve">social y calidad de vida, </w:t>
      </w:r>
      <w:r w:rsidR="005C59FB" w:rsidRPr="00A66118">
        <w:rPr>
          <w:rFonts w:ascii="Futura Round" w:hAnsi="Futura Round"/>
        </w:rPr>
        <w:t xml:space="preserve">mejoran en general </w:t>
      </w:r>
      <w:r w:rsidR="005013DD" w:rsidRPr="00A66118">
        <w:rPr>
          <w:rFonts w:ascii="Futura Round" w:hAnsi="Futura Round"/>
        </w:rPr>
        <w:t>l</w:t>
      </w:r>
      <w:r w:rsidR="005C59FB" w:rsidRPr="00A66118">
        <w:rPr>
          <w:rFonts w:ascii="Futura Round" w:hAnsi="Futura Round"/>
        </w:rPr>
        <w:t>os</w:t>
      </w:r>
      <w:r w:rsidR="00F9043C" w:rsidRPr="00A66118">
        <w:rPr>
          <w:rFonts w:ascii="Futura Round" w:hAnsi="Futura Round"/>
        </w:rPr>
        <w:t xml:space="preserve"> datos </w:t>
      </w:r>
      <w:r w:rsidR="00996991" w:rsidRPr="00A66118">
        <w:rPr>
          <w:rFonts w:ascii="Futura Round" w:hAnsi="Futura Round"/>
        </w:rPr>
        <w:t xml:space="preserve">relativos a </w:t>
      </w:r>
      <w:r w:rsidR="00217742" w:rsidRPr="00A66118">
        <w:rPr>
          <w:rFonts w:ascii="Futura Round" w:hAnsi="Futura Round"/>
        </w:rPr>
        <w:t>las</w:t>
      </w:r>
      <w:r w:rsidR="005A1313" w:rsidRPr="00A66118">
        <w:rPr>
          <w:rFonts w:ascii="Futura Round" w:hAnsi="Futura Round"/>
          <w:b/>
          <w:bCs/>
        </w:rPr>
        <w:t xml:space="preserve"> </w:t>
      </w:r>
      <w:r w:rsidR="005A1313" w:rsidRPr="001B78A2">
        <w:rPr>
          <w:rFonts w:ascii="Futura Round" w:hAnsi="Futura Round"/>
        </w:rPr>
        <w:t>brechas de desigualda</w:t>
      </w:r>
      <w:r w:rsidR="00D27B4F" w:rsidRPr="001B78A2">
        <w:rPr>
          <w:rFonts w:ascii="Futura Round" w:hAnsi="Futura Round"/>
        </w:rPr>
        <w:t>d,</w:t>
      </w:r>
      <w:r w:rsidR="00D27B4F" w:rsidRPr="00A66118">
        <w:rPr>
          <w:rFonts w:ascii="Futura Round" w:hAnsi="Futura Round"/>
          <w:b/>
          <w:bCs/>
        </w:rPr>
        <w:t xml:space="preserve"> </w:t>
      </w:r>
      <w:r w:rsidR="00D27B4F" w:rsidRPr="00A66118">
        <w:rPr>
          <w:rFonts w:ascii="Futura Round" w:hAnsi="Futura Round"/>
        </w:rPr>
        <w:t>aunque l</w:t>
      </w:r>
      <w:r w:rsidR="005A1313" w:rsidRPr="00A66118">
        <w:rPr>
          <w:rFonts w:ascii="Futura Round" w:hAnsi="Futura Round"/>
        </w:rPr>
        <w:t>a</w:t>
      </w:r>
      <w:r w:rsidR="00217742" w:rsidRPr="00A66118">
        <w:rPr>
          <w:rFonts w:ascii="Futura Round" w:hAnsi="Futura Round"/>
        </w:rPr>
        <w:t xml:space="preserve">s diferencias entre hombres y mujeres siguen siendo </w:t>
      </w:r>
      <w:r w:rsidR="005A1313" w:rsidRPr="00A66118">
        <w:rPr>
          <w:rFonts w:ascii="Futura Round" w:hAnsi="Futura Round"/>
        </w:rPr>
        <w:t>pronunciada</w:t>
      </w:r>
      <w:r w:rsidR="004C61EC" w:rsidRPr="00A66118">
        <w:rPr>
          <w:rFonts w:ascii="Futura Round" w:hAnsi="Futura Round"/>
        </w:rPr>
        <w:t>s</w:t>
      </w:r>
      <w:r w:rsidR="005A1313" w:rsidRPr="00A66118">
        <w:rPr>
          <w:rFonts w:ascii="Futura Round" w:hAnsi="Futura Round"/>
        </w:rPr>
        <w:t xml:space="preserve"> en términos de empleo</w:t>
      </w:r>
      <w:r w:rsidR="00DD5987">
        <w:rPr>
          <w:rFonts w:ascii="Futura Round" w:hAnsi="Futura Round"/>
        </w:rPr>
        <w:t xml:space="preserve"> (el desempleo femenino es un 4,6% mayor en Arag</w:t>
      </w:r>
      <w:r w:rsidR="009B7709">
        <w:rPr>
          <w:rFonts w:ascii="Futura Round" w:hAnsi="Futura Round"/>
        </w:rPr>
        <w:t>ón</w:t>
      </w:r>
      <w:r w:rsidR="00A46EF5">
        <w:rPr>
          <w:rFonts w:ascii="Futura Round" w:hAnsi="Futura Round"/>
        </w:rPr>
        <w:t>)</w:t>
      </w:r>
      <w:r w:rsidR="005A1313" w:rsidRPr="00A66118">
        <w:rPr>
          <w:rFonts w:ascii="Futura Round" w:hAnsi="Futura Round"/>
        </w:rPr>
        <w:t>, salario y riesgo de exclusión social. En cuanto a la juventud, la tasa de desempleo ha mejorado</w:t>
      </w:r>
      <w:r w:rsidR="00BF3AE4" w:rsidRPr="00A66118">
        <w:rPr>
          <w:rFonts w:ascii="Futura Round" w:hAnsi="Futura Round"/>
        </w:rPr>
        <w:t xml:space="preserve"> y se presentan indicadores más positivos que la media naci</w:t>
      </w:r>
      <w:r w:rsidR="002749B3" w:rsidRPr="00A66118">
        <w:rPr>
          <w:rFonts w:ascii="Futura Round" w:hAnsi="Futura Round"/>
        </w:rPr>
        <w:t>onal,</w:t>
      </w:r>
      <w:r w:rsidR="00AA5B76">
        <w:rPr>
          <w:rFonts w:ascii="Futura Round" w:hAnsi="Futura Round"/>
        </w:rPr>
        <w:t xml:space="preserve"> con un 13,7% </w:t>
      </w:r>
      <w:r w:rsidR="00021ED0">
        <w:rPr>
          <w:rFonts w:ascii="Futura Round" w:hAnsi="Futura Round"/>
        </w:rPr>
        <w:t>frente al 16,5%,</w:t>
      </w:r>
      <w:r w:rsidR="002749B3" w:rsidRPr="00A66118">
        <w:rPr>
          <w:rFonts w:ascii="Futura Round" w:hAnsi="Futura Round"/>
        </w:rPr>
        <w:t xml:space="preserve"> pero </w:t>
      </w:r>
      <w:r w:rsidR="005A1313" w:rsidRPr="00A66118">
        <w:rPr>
          <w:rFonts w:ascii="Futura Round" w:hAnsi="Futura Round"/>
        </w:rPr>
        <w:t>sigue habiendo dificultades para la inserción laboral y educativa de ciertos sectores. Asimismo, la población extranjera y las personas con discapacidad enfrentan barreras en términos de actividad económica y acceso a servicios.</w:t>
      </w:r>
    </w:p>
    <w:p w14:paraId="4403BEE5" w14:textId="6B21617E" w:rsidR="00E60D42" w:rsidRPr="00A66118" w:rsidRDefault="00E60D42" w:rsidP="000D4176">
      <w:pPr>
        <w:jc w:val="both"/>
        <w:rPr>
          <w:rFonts w:ascii="Futura Round" w:hAnsi="Futura Round"/>
        </w:rPr>
      </w:pPr>
      <w:r w:rsidRPr="00A66118">
        <w:rPr>
          <w:rFonts w:ascii="Futura Round" w:hAnsi="Futura Round"/>
        </w:rPr>
        <w:t xml:space="preserve">La renta media </w:t>
      </w:r>
      <w:r w:rsidR="00CC507F">
        <w:rPr>
          <w:rFonts w:ascii="Futura Round" w:hAnsi="Futura Round"/>
        </w:rPr>
        <w:t xml:space="preserve">por habitante en la ciudad de Zaragoza </w:t>
      </w:r>
      <w:r w:rsidRPr="00A66118">
        <w:rPr>
          <w:rFonts w:ascii="Futura Round" w:hAnsi="Futura Round"/>
        </w:rPr>
        <w:t>continúa experimentando una buena evolución</w:t>
      </w:r>
      <w:r w:rsidR="00D27B4F" w:rsidRPr="00A66118">
        <w:rPr>
          <w:rFonts w:ascii="Futura Round" w:hAnsi="Futura Round"/>
        </w:rPr>
        <w:t xml:space="preserve"> </w:t>
      </w:r>
      <w:r w:rsidRPr="00A66118">
        <w:rPr>
          <w:rFonts w:ascii="Futura Round" w:hAnsi="Futura Round"/>
        </w:rPr>
        <w:t>y se mantiene por encima de l</w:t>
      </w:r>
      <w:r w:rsidR="00D27B4F" w:rsidRPr="00A66118">
        <w:rPr>
          <w:rFonts w:ascii="Futura Round" w:hAnsi="Futura Round"/>
        </w:rPr>
        <w:t>a media nacional</w:t>
      </w:r>
      <w:r w:rsidR="00A00FFB" w:rsidRPr="00A66118">
        <w:rPr>
          <w:rFonts w:ascii="Futura Round" w:hAnsi="Futura Round"/>
        </w:rPr>
        <w:t xml:space="preserve">, </w:t>
      </w:r>
      <w:r w:rsidR="00CC507F">
        <w:rPr>
          <w:rFonts w:ascii="Futura Round" w:hAnsi="Futura Round"/>
        </w:rPr>
        <w:t>con 15.</w:t>
      </w:r>
      <w:r w:rsidR="00A55D67">
        <w:rPr>
          <w:rFonts w:ascii="Futura Round" w:hAnsi="Futura Round"/>
        </w:rPr>
        <w:t>3</w:t>
      </w:r>
      <w:r w:rsidR="00CC507F">
        <w:rPr>
          <w:rFonts w:ascii="Futura Round" w:hAnsi="Futura Round"/>
        </w:rPr>
        <w:t>68</w:t>
      </w:r>
      <w:r w:rsidR="00A55D67">
        <w:rPr>
          <w:rFonts w:ascii="Futura Round" w:hAnsi="Futura Round"/>
        </w:rPr>
        <w:t>€ frente a los 1</w:t>
      </w:r>
      <w:r w:rsidR="008D0457">
        <w:rPr>
          <w:rFonts w:ascii="Futura Round" w:hAnsi="Futura Round"/>
        </w:rPr>
        <w:t>4</w:t>
      </w:r>
      <w:r w:rsidR="00E2717B">
        <w:rPr>
          <w:rFonts w:ascii="Futura Round" w:hAnsi="Futura Round"/>
        </w:rPr>
        <w:t>.082</w:t>
      </w:r>
      <w:r w:rsidR="00864E98">
        <w:rPr>
          <w:rFonts w:ascii="Futura Round" w:hAnsi="Futura Round"/>
        </w:rPr>
        <w:t>€</w:t>
      </w:r>
      <w:r w:rsidR="00E2717B">
        <w:rPr>
          <w:rFonts w:ascii="Futura Round" w:hAnsi="Futura Round"/>
        </w:rPr>
        <w:t xml:space="preserve"> de media nacional</w:t>
      </w:r>
      <w:r w:rsidR="00EC6651">
        <w:rPr>
          <w:rFonts w:ascii="Futura Round" w:hAnsi="Futura Round"/>
        </w:rPr>
        <w:t xml:space="preserve">, </w:t>
      </w:r>
      <w:r w:rsidR="00A00FFB" w:rsidRPr="00A66118">
        <w:rPr>
          <w:rFonts w:ascii="Futura Round" w:hAnsi="Futura Round"/>
        </w:rPr>
        <w:t xml:space="preserve">al igual que </w:t>
      </w:r>
      <w:r w:rsidR="00CC66CC" w:rsidRPr="00A66118">
        <w:rPr>
          <w:rFonts w:ascii="Futura Round" w:hAnsi="Futura Round"/>
        </w:rPr>
        <w:t xml:space="preserve">los indicadores de </w:t>
      </w:r>
      <w:r w:rsidR="00164BAD" w:rsidRPr="00A66118">
        <w:rPr>
          <w:rFonts w:ascii="Futura Round" w:hAnsi="Futura Round"/>
        </w:rPr>
        <w:t>pobreza y exclusión</w:t>
      </w:r>
      <w:r w:rsidR="00A00FFB" w:rsidRPr="00A66118">
        <w:rPr>
          <w:rFonts w:ascii="Futura Round" w:hAnsi="Futura Round"/>
        </w:rPr>
        <w:t>, aunque en este último año han empeorado.</w:t>
      </w:r>
      <w:r w:rsidR="00164BAD" w:rsidRPr="00A66118">
        <w:rPr>
          <w:rFonts w:ascii="Futura Round" w:hAnsi="Futura Round"/>
        </w:rPr>
        <w:t xml:space="preserve"> </w:t>
      </w:r>
    </w:p>
    <w:p w14:paraId="5F46E090" w14:textId="4DB085C8" w:rsidR="002E4D55" w:rsidRPr="00A66118" w:rsidRDefault="002E4D55" w:rsidP="000D4176">
      <w:pPr>
        <w:jc w:val="both"/>
        <w:rPr>
          <w:rFonts w:ascii="Futura Round" w:hAnsi="Futura Round"/>
        </w:rPr>
      </w:pPr>
      <w:r w:rsidRPr="00A66118">
        <w:rPr>
          <w:rFonts w:ascii="Futura Round" w:hAnsi="Futura Round"/>
        </w:rPr>
        <w:t xml:space="preserve">En el ámbito de la salud, </w:t>
      </w:r>
      <w:r w:rsidR="00221A1C" w:rsidRPr="00A66118">
        <w:rPr>
          <w:rFonts w:ascii="Futura Round" w:hAnsi="Futura Round"/>
        </w:rPr>
        <w:t>el gasto sanitario continúa por debajo de la media española,</w:t>
      </w:r>
      <w:r w:rsidR="00B02F43">
        <w:rPr>
          <w:rFonts w:ascii="Futura Round" w:hAnsi="Futura Round"/>
        </w:rPr>
        <w:t xml:space="preserve"> </w:t>
      </w:r>
      <w:r w:rsidR="00221A1C" w:rsidRPr="00A66118">
        <w:rPr>
          <w:rFonts w:ascii="Futura Round" w:hAnsi="Futura Round"/>
        </w:rPr>
        <w:t xml:space="preserve">sin embargo, el </w:t>
      </w:r>
      <w:r w:rsidR="004A196B" w:rsidRPr="00A66118">
        <w:rPr>
          <w:rFonts w:ascii="Futura Round" w:hAnsi="Futura Round"/>
        </w:rPr>
        <w:t>dato</w:t>
      </w:r>
      <w:r w:rsidR="00221A1C" w:rsidRPr="00A66118">
        <w:rPr>
          <w:rFonts w:ascii="Futura Round" w:hAnsi="Futura Round"/>
        </w:rPr>
        <w:t xml:space="preserve"> por habitante </w:t>
      </w:r>
      <w:r w:rsidR="00C52296" w:rsidRPr="00A66118">
        <w:rPr>
          <w:rFonts w:ascii="Futura Round" w:hAnsi="Futura Round"/>
        </w:rPr>
        <w:t xml:space="preserve">sitúa a Aragón </w:t>
      </w:r>
      <w:r w:rsidR="00E6258E" w:rsidRPr="00A66118">
        <w:rPr>
          <w:rFonts w:ascii="Futura Round" w:hAnsi="Futura Round"/>
        </w:rPr>
        <w:t>por encima del dato medio del resto de las regiones</w:t>
      </w:r>
      <w:r w:rsidR="00B02F43">
        <w:rPr>
          <w:rFonts w:ascii="Futura Round" w:hAnsi="Futura Round"/>
        </w:rPr>
        <w:t xml:space="preserve">, con </w:t>
      </w:r>
      <w:r w:rsidR="00CA609E">
        <w:rPr>
          <w:rFonts w:ascii="Futura Round" w:hAnsi="Futura Round"/>
        </w:rPr>
        <w:t>1.908€ frente a 1.769€</w:t>
      </w:r>
      <w:r w:rsidR="00E6258E" w:rsidRPr="00A66118">
        <w:rPr>
          <w:rFonts w:ascii="Futura Round" w:hAnsi="Futura Round"/>
        </w:rPr>
        <w:t xml:space="preserve">. También se sitúan por encima </w:t>
      </w:r>
      <w:r w:rsidR="00567464" w:rsidRPr="00A66118">
        <w:rPr>
          <w:rFonts w:ascii="Futura Round" w:hAnsi="Futura Round"/>
        </w:rPr>
        <w:t>de la media española los indicadores relativos a la calidad de vida, como son la esperanza de vida</w:t>
      </w:r>
      <w:r w:rsidR="006E0EDA" w:rsidRPr="00A66118">
        <w:rPr>
          <w:rFonts w:ascii="Futura Round" w:hAnsi="Futura Round"/>
        </w:rPr>
        <w:t>, tanto al nacer como a los 65 años.</w:t>
      </w:r>
      <w:r w:rsidR="00567464" w:rsidRPr="00A66118">
        <w:rPr>
          <w:rFonts w:ascii="Futura Round" w:hAnsi="Futura Round"/>
        </w:rPr>
        <w:t xml:space="preserve"> </w:t>
      </w:r>
    </w:p>
    <w:p w14:paraId="26F414C3" w14:textId="59AF0990" w:rsidR="00137690" w:rsidRPr="00A66118" w:rsidRDefault="005A1313" w:rsidP="000D4176">
      <w:pPr>
        <w:jc w:val="both"/>
        <w:rPr>
          <w:rFonts w:ascii="Futura Round" w:hAnsi="Futura Round"/>
        </w:rPr>
      </w:pPr>
      <w:r w:rsidRPr="00A66118">
        <w:rPr>
          <w:rFonts w:ascii="Futura Round" w:hAnsi="Futura Round"/>
        </w:rPr>
        <w:lastRenderedPageBreak/>
        <w:t xml:space="preserve">El análisis ambiental refleja un </w:t>
      </w:r>
      <w:r w:rsidRPr="001B78A2">
        <w:rPr>
          <w:rFonts w:ascii="Futura Round" w:hAnsi="Futura Round"/>
        </w:rPr>
        <w:t>aumento en la producción y consumo de energías renovables, consolida</w:t>
      </w:r>
      <w:r w:rsidRPr="00A66118">
        <w:rPr>
          <w:rFonts w:ascii="Futura Round" w:hAnsi="Futura Round"/>
        </w:rPr>
        <w:t xml:space="preserve">ndo a Aragón como referente en este sector. </w:t>
      </w:r>
      <w:r w:rsidR="006140E4">
        <w:rPr>
          <w:rFonts w:ascii="Futura Round" w:hAnsi="Futura Round"/>
        </w:rPr>
        <w:t xml:space="preserve">Así, la producción </w:t>
      </w:r>
      <w:r w:rsidR="0094611F">
        <w:rPr>
          <w:rFonts w:ascii="Futura Round" w:hAnsi="Futura Round"/>
        </w:rPr>
        <w:t>de renovables alcanza el 83,94%</w:t>
      </w:r>
      <w:r w:rsidR="00585169">
        <w:rPr>
          <w:rFonts w:ascii="Futura Round" w:hAnsi="Futura Round"/>
        </w:rPr>
        <w:t xml:space="preserve"> </w:t>
      </w:r>
      <w:r w:rsidR="00B55B86">
        <w:rPr>
          <w:rFonts w:ascii="Futura Round" w:hAnsi="Futura Round"/>
        </w:rPr>
        <w:t xml:space="preserve">del total, mientras que el </w:t>
      </w:r>
      <w:r w:rsidR="00EC07EF">
        <w:rPr>
          <w:rFonts w:ascii="Futura Round" w:hAnsi="Futura Round"/>
        </w:rPr>
        <w:t>porcentaje de consumo de energía renovable en 2023 asciende al 37,4%</w:t>
      </w:r>
      <w:r w:rsidR="004D4626">
        <w:rPr>
          <w:rFonts w:ascii="Futura Round" w:hAnsi="Futura Round"/>
        </w:rPr>
        <w:t xml:space="preserve">. </w:t>
      </w:r>
      <w:r w:rsidR="00383553" w:rsidRPr="00A66118">
        <w:rPr>
          <w:rFonts w:ascii="Futura Round" w:hAnsi="Futura Round"/>
        </w:rPr>
        <w:t>Por otra parte, e</w:t>
      </w:r>
      <w:r w:rsidRPr="00A66118">
        <w:rPr>
          <w:rFonts w:ascii="Futura Round" w:hAnsi="Futura Round"/>
        </w:rPr>
        <w:t>l consumo energético por habitante</w:t>
      </w:r>
      <w:r w:rsidR="00B16253" w:rsidRPr="00A66118">
        <w:rPr>
          <w:rFonts w:ascii="Futura Round" w:hAnsi="Futura Round"/>
        </w:rPr>
        <w:t xml:space="preserve"> </w:t>
      </w:r>
      <w:r w:rsidR="003E22DF">
        <w:rPr>
          <w:rFonts w:ascii="Futura Round" w:hAnsi="Futura Round"/>
        </w:rPr>
        <w:t xml:space="preserve">en Aragón </w:t>
      </w:r>
      <w:r w:rsidR="00B16253" w:rsidRPr="00A66118">
        <w:rPr>
          <w:rFonts w:ascii="Futura Round" w:hAnsi="Futura Round"/>
        </w:rPr>
        <w:t>sigue descendiendo</w:t>
      </w:r>
      <w:r w:rsidR="00383553" w:rsidRPr="00A66118">
        <w:rPr>
          <w:rFonts w:ascii="Futura Round" w:hAnsi="Futura Round"/>
        </w:rPr>
        <w:t>.</w:t>
      </w:r>
    </w:p>
    <w:p w14:paraId="604A4D53" w14:textId="35D680EA" w:rsidR="005A1313" w:rsidRPr="00A66118" w:rsidRDefault="002E1403" w:rsidP="000D4176">
      <w:pPr>
        <w:jc w:val="both"/>
        <w:rPr>
          <w:rFonts w:ascii="Futura Round" w:hAnsi="Futura Round"/>
        </w:rPr>
      </w:pPr>
      <w:r w:rsidRPr="001B78A2">
        <w:rPr>
          <w:rFonts w:ascii="Futura Round" w:hAnsi="Futura Round"/>
        </w:rPr>
        <w:t>La</w:t>
      </w:r>
      <w:r w:rsidR="005A1313" w:rsidRPr="001B78A2">
        <w:rPr>
          <w:rFonts w:ascii="Futura Round" w:hAnsi="Futura Round"/>
        </w:rPr>
        <w:t xml:space="preserve"> calidad del aire en Zaragoza se mantiene en niveles satisfactorios</w:t>
      </w:r>
      <w:r w:rsidR="005A1313" w:rsidRPr="00A66118">
        <w:rPr>
          <w:rFonts w:ascii="Futura Round" w:hAnsi="Futura Round"/>
        </w:rPr>
        <w:t xml:space="preserve">, </w:t>
      </w:r>
      <w:r w:rsidR="0002209B">
        <w:rPr>
          <w:rFonts w:ascii="Futura Round" w:hAnsi="Futura Round"/>
        </w:rPr>
        <w:t xml:space="preserve">los 365 días </w:t>
      </w:r>
      <w:r w:rsidR="00556956">
        <w:rPr>
          <w:rFonts w:ascii="Futura Round" w:hAnsi="Futura Round"/>
        </w:rPr>
        <w:t xml:space="preserve">tuvieron buena calidad y sólo 14 se superaron los parámetros de </w:t>
      </w:r>
      <w:r w:rsidR="000751EA">
        <w:rPr>
          <w:rFonts w:ascii="Futura Round" w:hAnsi="Futura Round"/>
        </w:rPr>
        <w:t>las partículas PM</w:t>
      </w:r>
      <w:r w:rsidR="000751EA" w:rsidRPr="000751EA">
        <w:rPr>
          <w:rFonts w:ascii="Futura Round" w:hAnsi="Futura Round"/>
          <w:vertAlign w:val="subscript"/>
        </w:rPr>
        <w:t>10</w:t>
      </w:r>
      <w:r w:rsidR="000751EA">
        <w:rPr>
          <w:rFonts w:ascii="Futura Round" w:hAnsi="Futura Round"/>
        </w:rPr>
        <w:t xml:space="preserve">, </w:t>
      </w:r>
      <w:r w:rsidR="005A1313" w:rsidRPr="00A66118">
        <w:rPr>
          <w:rFonts w:ascii="Futura Round" w:hAnsi="Futura Round"/>
        </w:rPr>
        <w:t xml:space="preserve">con mejoras en la flota de vehículos con distintivo ambiental y una reducción del consumo de agua de uso doméstico por debajo de la media nacional. </w:t>
      </w:r>
    </w:p>
    <w:p w14:paraId="20C049E6" w14:textId="22B9DF17" w:rsidR="005A1313" w:rsidRPr="00A66118" w:rsidRDefault="005A1313" w:rsidP="000D4176">
      <w:pPr>
        <w:jc w:val="both"/>
        <w:rPr>
          <w:rFonts w:ascii="Futura Round" w:hAnsi="Futura Round"/>
        </w:rPr>
      </w:pPr>
      <w:r w:rsidRPr="00A66118">
        <w:rPr>
          <w:rFonts w:ascii="Futura Round" w:hAnsi="Futura Round"/>
        </w:rPr>
        <w:t>En términos de innovación</w:t>
      </w:r>
      <w:r w:rsidR="001A0624" w:rsidRPr="00A66118">
        <w:rPr>
          <w:rFonts w:ascii="Futura Round" w:hAnsi="Futura Round"/>
        </w:rPr>
        <w:t xml:space="preserve"> </w:t>
      </w:r>
      <w:r w:rsidR="00580266" w:rsidRPr="00A66118">
        <w:rPr>
          <w:rFonts w:ascii="Futura Round" w:hAnsi="Futura Round"/>
        </w:rPr>
        <w:t xml:space="preserve">ha habido avances en la inversión en </w:t>
      </w:r>
      <w:r w:rsidR="003F70D5" w:rsidRPr="00A66118">
        <w:rPr>
          <w:rFonts w:ascii="Futura Round" w:hAnsi="Futura Round"/>
        </w:rPr>
        <w:t>investigación o el porcentaje de empresas con gasto en innovación</w:t>
      </w:r>
      <w:r w:rsidRPr="00A66118">
        <w:rPr>
          <w:rFonts w:ascii="Futura Round" w:hAnsi="Futura Round"/>
        </w:rPr>
        <w:t xml:space="preserve">, </w:t>
      </w:r>
      <w:r w:rsidR="002F25ED" w:rsidRPr="00A66118">
        <w:rPr>
          <w:rFonts w:ascii="Futura Round" w:hAnsi="Futura Round"/>
        </w:rPr>
        <w:t xml:space="preserve">aunque </w:t>
      </w:r>
      <w:r w:rsidRPr="00A66118">
        <w:rPr>
          <w:rFonts w:ascii="Futura Round" w:hAnsi="Futura Round"/>
        </w:rPr>
        <w:t xml:space="preserve">el informe destaca la necesidad de mayor inversión en I+D+i tanto en el sector público como en el privado, ya que la intensidad de innovación en Aragón sigue estando por debajo de la media nacional. </w:t>
      </w:r>
    </w:p>
    <w:p w14:paraId="5A55ADD3" w14:textId="4BB9888D" w:rsidR="00F1660F" w:rsidRPr="00A66118" w:rsidRDefault="00F1660F" w:rsidP="00F1660F">
      <w:pPr>
        <w:jc w:val="both"/>
        <w:rPr>
          <w:rFonts w:ascii="Futura Round" w:hAnsi="Futura Round"/>
        </w:rPr>
      </w:pPr>
      <w:r w:rsidRPr="00A66118">
        <w:rPr>
          <w:rFonts w:ascii="Futura Round" w:hAnsi="Futura Round"/>
        </w:rPr>
        <w:t>En cuanto a educación, mejora la tasa de escolarización a los 17 años</w:t>
      </w:r>
      <w:r w:rsidR="007C52D3" w:rsidRPr="00A66118">
        <w:rPr>
          <w:rFonts w:ascii="Futura Round" w:hAnsi="Futura Round"/>
        </w:rPr>
        <w:t xml:space="preserve">, </w:t>
      </w:r>
      <w:r w:rsidR="00D22155" w:rsidRPr="00A66118">
        <w:rPr>
          <w:rFonts w:ascii="Futura Round" w:hAnsi="Futura Round"/>
        </w:rPr>
        <w:t>se da una b</w:t>
      </w:r>
      <w:r w:rsidRPr="00A66118">
        <w:rPr>
          <w:rFonts w:ascii="Futura Round" w:hAnsi="Futura Round"/>
        </w:rPr>
        <w:t>uena tasa de Educación Superior entre 25 a 34 años</w:t>
      </w:r>
      <w:r w:rsidR="00D22155" w:rsidRPr="00A66118">
        <w:rPr>
          <w:rFonts w:ascii="Futura Round" w:hAnsi="Futura Round"/>
        </w:rPr>
        <w:t xml:space="preserve"> y se incrementa el número de adultos que </w:t>
      </w:r>
      <w:r w:rsidRPr="00A66118">
        <w:rPr>
          <w:rFonts w:ascii="Futura Round" w:hAnsi="Futura Round"/>
        </w:rPr>
        <w:t>participan en educación-formación</w:t>
      </w:r>
      <w:r w:rsidR="00D22155" w:rsidRPr="00A66118">
        <w:rPr>
          <w:rFonts w:ascii="Futura Round" w:hAnsi="Futura Round"/>
        </w:rPr>
        <w:t>.</w:t>
      </w:r>
      <w:r w:rsidR="004707EA" w:rsidRPr="00A66118">
        <w:rPr>
          <w:rFonts w:ascii="Futura Round" w:hAnsi="Futura Round"/>
        </w:rPr>
        <w:t xml:space="preserve"> Es preciso avanzar en las tasas de graduación, de </w:t>
      </w:r>
      <w:r w:rsidR="0020337C" w:rsidRPr="00A66118">
        <w:rPr>
          <w:rFonts w:ascii="Futura Round" w:hAnsi="Futura Round"/>
        </w:rPr>
        <w:t>idoneidad y equiparar el abandono escolar a las mejores comunidades</w:t>
      </w:r>
      <w:r w:rsidR="00800FAA" w:rsidRPr="00A66118">
        <w:rPr>
          <w:rFonts w:ascii="Futura Round" w:hAnsi="Futura Round"/>
        </w:rPr>
        <w:t xml:space="preserve">, así como reducir la brecha </w:t>
      </w:r>
      <w:r w:rsidR="004714D4" w:rsidRPr="00A66118">
        <w:rPr>
          <w:rFonts w:ascii="Futura Round" w:hAnsi="Futura Round"/>
        </w:rPr>
        <w:t>entre varones y mujeres</w:t>
      </w:r>
      <w:r w:rsidR="00B8459D" w:rsidRPr="00A66118">
        <w:rPr>
          <w:rFonts w:ascii="Futura Round" w:hAnsi="Futura Round"/>
        </w:rPr>
        <w:t>, ya que los chicos presentan peores tasas de graduación y más abandono escolar.</w:t>
      </w:r>
      <w:r w:rsidR="0020337C" w:rsidRPr="00A66118">
        <w:rPr>
          <w:rFonts w:ascii="Futura Round" w:hAnsi="Futura Round"/>
        </w:rPr>
        <w:t xml:space="preserve"> </w:t>
      </w:r>
    </w:p>
    <w:p w14:paraId="0BDFBFFE" w14:textId="112DD875" w:rsidR="005A1313" w:rsidRPr="00E6508B" w:rsidRDefault="005A1313" w:rsidP="000D4176">
      <w:pPr>
        <w:jc w:val="both"/>
        <w:rPr>
          <w:rFonts w:ascii="Futura Round" w:hAnsi="Futura Round"/>
          <w:lang w:val="es-ES_tradnl"/>
        </w:rPr>
      </w:pPr>
      <w:r w:rsidRPr="00A66118">
        <w:rPr>
          <w:rFonts w:ascii="Futura Round" w:hAnsi="Futura Round"/>
        </w:rPr>
        <w:t xml:space="preserve">En el ámbito económico, el PIB de Aragón se mantiene por encima de la media nacional, aunque ha perdido peso respecto a la Unión Europea. El sector turístico muestra una recuperación notable, especialmente en Zaragoza, </w:t>
      </w:r>
      <w:r w:rsidR="00D26E3E">
        <w:rPr>
          <w:rFonts w:ascii="Futura Round" w:hAnsi="Futura Round"/>
        </w:rPr>
        <w:t xml:space="preserve">donde el </w:t>
      </w:r>
      <w:r w:rsidR="00D26E3E" w:rsidRPr="00E6508B">
        <w:rPr>
          <w:rFonts w:ascii="Futura Round" w:hAnsi="Futura Round"/>
          <w:lang w:val="es-ES_tradnl"/>
        </w:rPr>
        <w:t xml:space="preserve">número de pernoctaciones se eleva a 1.961.018 </w:t>
      </w:r>
      <w:r w:rsidR="007A4528">
        <w:rPr>
          <w:rFonts w:ascii="Futura Round" w:hAnsi="Futura Round"/>
          <w:lang w:val="es-ES_tradnl"/>
        </w:rPr>
        <w:t>en 2023 -</w:t>
      </w:r>
      <w:r w:rsidR="00D26E3E" w:rsidRPr="00E6508B">
        <w:rPr>
          <w:rFonts w:ascii="Futura Round" w:hAnsi="Futura Round"/>
          <w:lang w:val="es-ES_tradnl"/>
        </w:rPr>
        <w:t xml:space="preserve"> 2.726.765 </w:t>
      </w:r>
      <w:r w:rsidR="007A4528" w:rsidRPr="00E6508B">
        <w:rPr>
          <w:rFonts w:ascii="Futura Round" w:hAnsi="Futura Round"/>
          <w:lang w:val="es-ES_tradnl"/>
        </w:rPr>
        <w:t>en la provincia</w:t>
      </w:r>
      <w:r w:rsidR="007A4528">
        <w:rPr>
          <w:rFonts w:ascii="Futura Round" w:hAnsi="Futura Round"/>
          <w:lang w:val="es-ES_tradnl"/>
        </w:rPr>
        <w:t xml:space="preserve">- </w:t>
      </w:r>
      <w:r w:rsidRPr="00A66118">
        <w:rPr>
          <w:rFonts w:ascii="Futura Round" w:hAnsi="Futura Round"/>
        </w:rPr>
        <w:t>aunque aún se requiere reforzar el turismo de congresos y reuniones.</w:t>
      </w:r>
      <w:r w:rsidR="00E6508B">
        <w:rPr>
          <w:rFonts w:ascii="Futura Round" w:hAnsi="Futura Round"/>
        </w:rPr>
        <w:t xml:space="preserve"> </w:t>
      </w:r>
    </w:p>
    <w:p w14:paraId="0BF9C5DF" w14:textId="77777777" w:rsidR="005A1313" w:rsidRDefault="005A1313" w:rsidP="000D4176">
      <w:pPr>
        <w:jc w:val="both"/>
        <w:rPr>
          <w:rFonts w:ascii="Futura Round" w:hAnsi="Futura Round"/>
        </w:rPr>
      </w:pPr>
      <w:r w:rsidRPr="00A66118">
        <w:rPr>
          <w:rFonts w:ascii="Futura Round" w:hAnsi="Futura Round"/>
        </w:rPr>
        <w:t>Los indicadores de participación y satisfacción ciudadana en Zaragoza continúan en valores positivos. Los ciudadanos valoran favorablemente la calidad de vida en sus barrios y la prestación de servicios municipales. No obstante, persisten desafíos en aspectos como la limpieza viaria y la gestión del ruido.</w:t>
      </w:r>
    </w:p>
    <w:p w14:paraId="6B33AC78" w14:textId="7C089458" w:rsidR="008F11E9" w:rsidRPr="0042463B" w:rsidRDefault="008F11E9" w:rsidP="000D4176">
      <w:pPr>
        <w:jc w:val="both"/>
        <w:rPr>
          <w:rFonts w:ascii="Futura Round" w:hAnsi="Futura Round"/>
          <w:b/>
          <w:bCs/>
        </w:rPr>
      </w:pPr>
      <w:r w:rsidRPr="0042463B">
        <w:rPr>
          <w:rFonts w:ascii="Futura Round" w:hAnsi="Futura Round"/>
          <w:b/>
          <w:bCs/>
        </w:rPr>
        <w:t xml:space="preserve">Avance </w:t>
      </w:r>
      <w:r w:rsidR="0042463B">
        <w:rPr>
          <w:rFonts w:ascii="Futura Round" w:hAnsi="Futura Round"/>
          <w:b/>
          <w:bCs/>
        </w:rPr>
        <w:t xml:space="preserve">de </w:t>
      </w:r>
      <w:r w:rsidRPr="0042463B">
        <w:rPr>
          <w:rFonts w:ascii="Futura Round" w:hAnsi="Futura Round"/>
          <w:b/>
          <w:bCs/>
        </w:rPr>
        <w:t>2024</w:t>
      </w:r>
    </w:p>
    <w:p w14:paraId="774E4C35" w14:textId="77777777" w:rsidR="00600703" w:rsidRDefault="008F11E9" w:rsidP="00CD427B">
      <w:pPr>
        <w:jc w:val="both"/>
        <w:rPr>
          <w:rFonts w:ascii="Futura Round" w:hAnsi="Futura Round"/>
        </w:rPr>
      </w:pPr>
      <w:r>
        <w:rPr>
          <w:rFonts w:ascii="Futura Round" w:hAnsi="Futura Round"/>
        </w:rPr>
        <w:t xml:space="preserve">El </w:t>
      </w:r>
      <w:r w:rsidR="00EE26AE">
        <w:rPr>
          <w:rFonts w:ascii="Futura Round" w:hAnsi="Futura Round"/>
        </w:rPr>
        <w:t xml:space="preserve">Cuadro de Mando del Observatorio Urbano ofrece ya indicadores actualizados a 2024 en los ámbitos de </w:t>
      </w:r>
      <w:r w:rsidR="002C7942">
        <w:rPr>
          <w:rFonts w:ascii="Futura Round" w:hAnsi="Futura Round"/>
        </w:rPr>
        <w:t xml:space="preserve">actividad y desempleo, pobreza y exclusión, </w:t>
      </w:r>
      <w:r w:rsidR="00781809">
        <w:rPr>
          <w:rFonts w:ascii="Futura Round" w:hAnsi="Futura Round"/>
        </w:rPr>
        <w:t>protección social</w:t>
      </w:r>
      <w:r w:rsidR="009D0EB0">
        <w:rPr>
          <w:rFonts w:ascii="Futura Round" w:hAnsi="Futura Round"/>
        </w:rPr>
        <w:t xml:space="preserve">, educación y universidad, </w:t>
      </w:r>
      <w:r w:rsidR="00782C1F">
        <w:rPr>
          <w:rFonts w:ascii="Futura Round" w:hAnsi="Futura Round"/>
        </w:rPr>
        <w:t xml:space="preserve">economía, </w:t>
      </w:r>
      <w:r w:rsidR="00802927">
        <w:rPr>
          <w:rFonts w:ascii="Futura Round" w:hAnsi="Futura Round"/>
        </w:rPr>
        <w:t xml:space="preserve">medioambiente y </w:t>
      </w:r>
      <w:r w:rsidR="00782C1F">
        <w:rPr>
          <w:rFonts w:ascii="Futura Round" w:hAnsi="Futura Round"/>
        </w:rPr>
        <w:t>proyección exterior</w:t>
      </w:r>
      <w:r w:rsidR="004977B5">
        <w:rPr>
          <w:rFonts w:ascii="Futura Round" w:hAnsi="Futura Round"/>
        </w:rPr>
        <w:t xml:space="preserve">. En general, </w:t>
      </w:r>
      <w:r w:rsidR="00600703">
        <w:rPr>
          <w:rFonts w:ascii="Futura Round" w:hAnsi="Futura Round"/>
        </w:rPr>
        <w:t xml:space="preserve">todos </w:t>
      </w:r>
      <w:r w:rsidR="004977B5">
        <w:rPr>
          <w:rFonts w:ascii="Futura Round" w:hAnsi="Futura Round"/>
        </w:rPr>
        <w:t xml:space="preserve">se sitúan </w:t>
      </w:r>
      <w:r w:rsidR="009D3685">
        <w:rPr>
          <w:rFonts w:ascii="Futura Round" w:hAnsi="Futura Round"/>
        </w:rPr>
        <w:t>por encima de la media de España</w:t>
      </w:r>
      <w:r w:rsidR="00600703">
        <w:rPr>
          <w:rFonts w:ascii="Futura Round" w:hAnsi="Futura Round"/>
        </w:rPr>
        <w:t xml:space="preserve">. Además, </w:t>
      </w:r>
      <w:r w:rsidR="00802927">
        <w:rPr>
          <w:rFonts w:ascii="Futura Round" w:hAnsi="Futura Round"/>
        </w:rPr>
        <w:t xml:space="preserve">arrojan </w:t>
      </w:r>
      <w:r w:rsidR="004977B5">
        <w:rPr>
          <w:rFonts w:ascii="Futura Round" w:hAnsi="Futura Round"/>
        </w:rPr>
        <w:t xml:space="preserve">una evolución positiva </w:t>
      </w:r>
      <w:r w:rsidR="004977B5" w:rsidRPr="004977B5">
        <w:rPr>
          <w:rFonts w:ascii="Futura Round" w:hAnsi="Futura Round"/>
        </w:rPr>
        <w:t>l</w:t>
      </w:r>
      <w:r w:rsidR="00630137">
        <w:rPr>
          <w:rFonts w:ascii="Futura Round" w:hAnsi="Futura Round"/>
        </w:rPr>
        <w:t>o</w:t>
      </w:r>
      <w:r w:rsidR="004977B5" w:rsidRPr="004977B5">
        <w:rPr>
          <w:rFonts w:ascii="Futura Round" w:hAnsi="Futura Round"/>
        </w:rPr>
        <w:t xml:space="preserve">s </w:t>
      </w:r>
      <w:r w:rsidR="0059344D">
        <w:rPr>
          <w:rFonts w:ascii="Futura Round" w:hAnsi="Futura Round"/>
        </w:rPr>
        <w:t>datos relativos</w:t>
      </w:r>
      <w:r w:rsidR="005A1716">
        <w:rPr>
          <w:rFonts w:ascii="Futura Round" w:hAnsi="Futura Round"/>
        </w:rPr>
        <w:t xml:space="preserve"> a</w:t>
      </w:r>
      <w:r w:rsidR="00942C1D" w:rsidRPr="00942C1D">
        <w:rPr>
          <w:rFonts w:ascii="Futura Round" w:hAnsi="Futura Round"/>
        </w:rPr>
        <w:t xml:space="preserve"> empleo, dependencia, transporte aéreo y movilidad en transporte público</w:t>
      </w:r>
      <w:r w:rsidR="009A0E08">
        <w:rPr>
          <w:rFonts w:ascii="Futura Round" w:hAnsi="Futura Round"/>
        </w:rPr>
        <w:t xml:space="preserve">. </w:t>
      </w:r>
    </w:p>
    <w:p w14:paraId="768EAC66" w14:textId="2584AB30" w:rsidR="005A1716" w:rsidRDefault="00CD427B" w:rsidP="00277E25">
      <w:pPr>
        <w:jc w:val="both"/>
        <w:rPr>
          <w:rFonts w:ascii="Futura Round" w:hAnsi="Futura Round"/>
        </w:rPr>
      </w:pPr>
      <w:r>
        <w:rPr>
          <w:rFonts w:ascii="Futura Round" w:hAnsi="Futura Round"/>
        </w:rPr>
        <w:t>En cuanto a</w:t>
      </w:r>
      <w:r w:rsidR="005A571D">
        <w:rPr>
          <w:rFonts w:ascii="Futura Round" w:hAnsi="Futura Round"/>
        </w:rPr>
        <w:t xml:space="preserve"> actividad y</w:t>
      </w:r>
      <w:r>
        <w:rPr>
          <w:rFonts w:ascii="Futura Round" w:hAnsi="Futura Round"/>
        </w:rPr>
        <w:t xml:space="preserve"> empleo en Aragón, se incrementa la </w:t>
      </w:r>
      <w:r w:rsidR="00600703">
        <w:rPr>
          <w:rFonts w:ascii="Futura Round" w:hAnsi="Futura Round"/>
        </w:rPr>
        <w:t>t</w:t>
      </w:r>
      <w:r w:rsidRPr="00CD427B">
        <w:rPr>
          <w:rFonts w:ascii="Futura Round" w:hAnsi="Futura Round"/>
        </w:rPr>
        <w:t xml:space="preserve">asa </w:t>
      </w:r>
      <w:r>
        <w:rPr>
          <w:rFonts w:ascii="Futura Round" w:hAnsi="Futura Round"/>
        </w:rPr>
        <w:t xml:space="preserve">de </w:t>
      </w:r>
      <w:r w:rsidRPr="00CD427B">
        <w:rPr>
          <w:rFonts w:ascii="Futura Round" w:hAnsi="Futura Round"/>
        </w:rPr>
        <w:t>actividad general</w:t>
      </w:r>
      <w:r>
        <w:rPr>
          <w:rFonts w:ascii="Futura Round" w:hAnsi="Futura Round"/>
        </w:rPr>
        <w:t xml:space="preserve"> hasta un </w:t>
      </w:r>
      <w:r w:rsidRPr="00CD427B">
        <w:rPr>
          <w:rFonts w:ascii="Futura Round" w:hAnsi="Futura Round"/>
        </w:rPr>
        <w:t>77,93%</w:t>
      </w:r>
      <w:r>
        <w:rPr>
          <w:rFonts w:ascii="Futura Round" w:hAnsi="Futura Round"/>
        </w:rPr>
        <w:t xml:space="preserve">, frente al </w:t>
      </w:r>
      <w:r w:rsidRPr="00CD427B">
        <w:rPr>
          <w:rFonts w:ascii="Futura Round" w:hAnsi="Futura Round"/>
        </w:rPr>
        <w:t>77,87%</w:t>
      </w:r>
      <w:r>
        <w:rPr>
          <w:rFonts w:ascii="Futura Round" w:hAnsi="Futura Round"/>
        </w:rPr>
        <w:t xml:space="preserve"> de </w:t>
      </w:r>
      <w:r w:rsidRPr="00CD427B">
        <w:rPr>
          <w:rFonts w:ascii="Futura Round" w:hAnsi="Futura Round"/>
        </w:rPr>
        <w:t>España</w:t>
      </w:r>
      <w:r>
        <w:rPr>
          <w:rFonts w:ascii="Futura Round" w:hAnsi="Futura Round"/>
        </w:rPr>
        <w:t xml:space="preserve">; también aumenta esta tasa en la </w:t>
      </w:r>
      <w:r w:rsidRPr="00CD427B">
        <w:rPr>
          <w:rFonts w:ascii="Futura Round" w:hAnsi="Futura Round"/>
        </w:rPr>
        <w:t>población extranjera</w:t>
      </w:r>
      <w:r>
        <w:rPr>
          <w:rFonts w:ascii="Futura Round" w:hAnsi="Futura Round"/>
        </w:rPr>
        <w:t xml:space="preserve"> hasta el </w:t>
      </w:r>
      <w:r w:rsidRPr="00CD427B">
        <w:rPr>
          <w:rFonts w:ascii="Futura Round" w:hAnsi="Futura Round"/>
        </w:rPr>
        <w:t>70,1%</w:t>
      </w:r>
      <w:r w:rsidR="00600703">
        <w:rPr>
          <w:rFonts w:ascii="Futura Round" w:hAnsi="Futura Round"/>
        </w:rPr>
        <w:t>,</w:t>
      </w:r>
      <w:r w:rsidRPr="00CD427B">
        <w:rPr>
          <w:rFonts w:ascii="Futura Round" w:hAnsi="Futura Round"/>
        </w:rPr>
        <w:t xml:space="preserve"> </w:t>
      </w:r>
      <w:r w:rsidR="00070712">
        <w:rPr>
          <w:rFonts w:ascii="Futura Round" w:hAnsi="Futura Round"/>
        </w:rPr>
        <w:t>un punto por encima de la española</w:t>
      </w:r>
      <w:r w:rsidR="004C1810">
        <w:rPr>
          <w:rFonts w:ascii="Futura Round" w:hAnsi="Futura Round"/>
        </w:rPr>
        <w:t>. L</w:t>
      </w:r>
      <w:r w:rsidR="00070712">
        <w:rPr>
          <w:rFonts w:ascii="Futura Round" w:hAnsi="Futura Round"/>
        </w:rPr>
        <w:t>a t</w:t>
      </w:r>
      <w:r w:rsidRPr="00CD427B">
        <w:rPr>
          <w:rFonts w:ascii="Futura Round" w:hAnsi="Futura Round"/>
        </w:rPr>
        <w:t>asa desempleo general</w:t>
      </w:r>
      <w:r w:rsidR="00070712">
        <w:rPr>
          <w:rFonts w:ascii="Futura Round" w:hAnsi="Futura Round"/>
        </w:rPr>
        <w:t xml:space="preserve"> disminuye al </w:t>
      </w:r>
      <w:r w:rsidRPr="00CD427B">
        <w:rPr>
          <w:rFonts w:ascii="Futura Round" w:hAnsi="Futura Round"/>
        </w:rPr>
        <w:t xml:space="preserve">8,2% </w:t>
      </w:r>
      <w:r w:rsidR="00795796">
        <w:rPr>
          <w:rFonts w:ascii="Futura Round" w:hAnsi="Futura Round"/>
        </w:rPr>
        <w:t xml:space="preserve">mientras que la media española es del </w:t>
      </w:r>
      <w:r w:rsidRPr="00CD427B">
        <w:rPr>
          <w:rFonts w:ascii="Futura Round" w:hAnsi="Futura Round"/>
        </w:rPr>
        <w:t>11,4%</w:t>
      </w:r>
      <w:r w:rsidR="004C1810">
        <w:rPr>
          <w:rFonts w:ascii="Futura Round" w:hAnsi="Futura Round"/>
        </w:rPr>
        <w:t xml:space="preserve">, y </w:t>
      </w:r>
      <w:r w:rsidR="00600703">
        <w:rPr>
          <w:rFonts w:ascii="Futura Round" w:hAnsi="Futura Round"/>
        </w:rPr>
        <w:t>se reducen</w:t>
      </w:r>
      <w:r w:rsidR="00795796">
        <w:rPr>
          <w:rFonts w:ascii="Futura Round" w:hAnsi="Futura Round"/>
        </w:rPr>
        <w:t xml:space="preserve"> el </w:t>
      </w:r>
      <w:r w:rsidRPr="00CD427B">
        <w:rPr>
          <w:rFonts w:ascii="Futura Round" w:hAnsi="Futura Round"/>
        </w:rPr>
        <w:t xml:space="preserve">desempleo </w:t>
      </w:r>
      <w:r w:rsidR="00795796">
        <w:rPr>
          <w:rFonts w:ascii="Futura Round" w:hAnsi="Futura Round"/>
        </w:rPr>
        <w:t xml:space="preserve">de </w:t>
      </w:r>
      <w:r w:rsidRPr="00CD427B">
        <w:rPr>
          <w:rFonts w:ascii="Futura Round" w:hAnsi="Futura Round"/>
        </w:rPr>
        <w:t>larga duración</w:t>
      </w:r>
      <w:r w:rsidR="00795796">
        <w:rPr>
          <w:rFonts w:ascii="Futura Round" w:hAnsi="Futura Round"/>
        </w:rPr>
        <w:t>, que se sitúa en A</w:t>
      </w:r>
      <w:r w:rsidRPr="00CD427B">
        <w:rPr>
          <w:rFonts w:ascii="Futura Round" w:hAnsi="Futura Round"/>
        </w:rPr>
        <w:t>ragón</w:t>
      </w:r>
      <w:r w:rsidR="00795796">
        <w:rPr>
          <w:rFonts w:ascii="Futura Round" w:hAnsi="Futura Round"/>
        </w:rPr>
        <w:t xml:space="preserve"> en el </w:t>
      </w:r>
      <w:r w:rsidRPr="00CD427B">
        <w:rPr>
          <w:rFonts w:ascii="Futura Round" w:hAnsi="Futura Round"/>
        </w:rPr>
        <w:t>36,3%</w:t>
      </w:r>
      <w:r w:rsidR="00795796">
        <w:rPr>
          <w:rFonts w:ascii="Futura Round" w:hAnsi="Futura Round"/>
        </w:rPr>
        <w:t>, la tasa de desempleo de la población extranjera</w:t>
      </w:r>
      <w:r w:rsidR="004C1810">
        <w:rPr>
          <w:rFonts w:ascii="Futura Round" w:hAnsi="Futura Round"/>
        </w:rPr>
        <w:t>,</w:t>
      </w:r>
      <w:r w:rsidR="00795796">
        <w:rPr>
          <w:rFonts w:ascii="Futura Round" w:hAnsi="Futura Round"/>
        </w:rPr>
        <w:t xml:space="preserve"> hasta el </w:t>
      </w:r>
      <w:r w:rsidRPr="00CD427B">
        <w:rPr>
          <w:rFonts w:ascii="Futura Round" w:hAnsi="Futura Round"/>
        </w:rPr>
        <w:t xml:space="preserve">13,1% </w:t>
      </w:r>
      <w:r w:rsidR="00795796">
        <w:rPr>
          <w:rFonts w:ascii="Futura Round" w:hAnsi="Futura Round"/>
        </w:rPr>
        <w:t xml:space="preserve">frente al </w:t>
      </w:r>
      <w:r w:rsidRPr="00CD427B">
        <w:rPr>
          <w:rFonts w:ascii="Futura Round" w:hAnsi="Futura Round"/>
        </w:rPr>
        <w:t>16,7%</w:t>
      </w:r>
      <w:r w:rsidR="00795796">
        <w:rPr>
          <w:rFonts w:ascii="Futura Round" w:hAnsi="Futura Round"/>
        </w:rPr>
        <w:t xml:space="preserve"> de España.</w:t>
      </w:r>
      <w:r w:rsidR="004C1810">
        <w:rPr>
          <w:rFonts w:ascii="Futura Round" w:hAnsi="Futura Round"/>
        </w:rPr>
        <w:t xml:space="preserve">, </w:t>
      </w:r>
      <w:r w:rsidR="00277E25">
        <w:rPr>
          <w:rFonts w:ascii="Futura Round" w:hAnsi="Futura Round"/>
        </w:rPr>
        <w:t xml:space="preserve">y </w:t>
      </w:r>
      <w:r w:rsidR="004C1810">
        <w:rPr>
          <w:rFonts w:ascii="Futura Round" w:hAnsi="Futura Round"/>
        </w:rPr>
        <w:t>el desempleo femenino</w:t>
      </w:r>
      <w:r w:rsidR="00277E25">
        <w:rPr>
          <w:rFonts w:ascii="Futura Round" w:hAnsi="Futura Round"/>
        </w:rPr>
        <w:t>, que en Zaragoza provincia es de</w:t>
      </w:r>
      <w:r w:rsidR="005A571D">
        <w:rPr>
          <w:rFonts w:ascii="Futura Round" w:hAnsi="Futura Round"/>
        </w:rPr>
        <w:t>l</w:t>
      </w:r>
      <w:r w:rsidR="00277E25">
        <w:rPr>
          <w:rFonts w:ascii="Futura Round" w:hAnsi="Futura Round"/>
        </w:rPr>
        <w:t xml:space="preserve"> 9,7%, en </w:t>
      </w:r>
      <w:r w:rsidR="00277E25" w:rsidRPr="00277E25">
        <w:rPr>
          <w:rFonts w:ascii="Futura Round" w:hAnsi="Futura Round"/>
        </w:rPr>
        <w:t>Aragón</w:t>
      </w:r>
      <w:r w:rsidR="004A05EB">
        <w:rPr>
          <w:rFonts w:ascii="Futura Round" w:hAnsi="Futura Round"/>
        </w:rPr>
        <w:t xml:space="preserve"> del </w:t>
      </w:r>
      <w:r w:rsidR="00277E25" w:rsidRPr="00277E25">
        <w:rPr>
          <w:rFonts w:ascii="Futura Round" w:hAnsi="Futura Round"/>
        </w:rPr>
        <w:t>9.8%</w:t>
      </w:r>
      <w:r w:rsidR="004A05EB">
        <w:rPr>
          <w:rFonts w:ascii="Futura Round" w:hAnsi="Futura Round"/>
        </w:rPr>
        <w:t xml:space="preserve"> y la media española del </w:t>
      </w:r>
      <w:r w:rsidR="00277E25" w:rsidRPr="00277E25">
        <w:rPr>
          <w:rFonts w:ascii="Futura Round" w:hAnsi="Futura Round"/>
        </w:rPr>
        <w:t>12,7</w:t>
      </w:r>
      <w:r w:rsidR="004A05EB">
        <w:rPr>
          <w:rFonts w:ascii="Futura Round" w:hAnsi="Futura Round"/>
        </w:rPr>
        <w:t>%.</w:t>
      </w:r>
    </w:p>
    <w:p w14:paraId="171F3103" w14:textId="77777777" w:rsidR="008B296D" w:rsidRDefault="008B296D" w:rsidP="00C8227C">
      <w:pPr>
        <w:jc w:val="both"/>
        <w:rPr>
          <w:rFonts w:ascii="Futura Round" w:hAnsi="Futura Round"/>
        </w:rPr>
      </w:pPr>
    </w:p>
    <w:p w14:paraId="2287F8B5" w14:textId="2517AFF6" w:rsidR="008B296D" w:rsidRDefault="008B296D" w:rsidP="003E5390">
      <w:pPr>
        <w:jc w:val="both"/>
        <w:rPr>
          <w:rFonts w:ascii="Futura Round" w:hAnsi="Futura Round"/>
        </w:rPr>
      </w:pPr>
      <w:r>
        <w:rPr>
          <w:rFonts w:ascii="Futura Round" w:hAnsi="Futura Round"/>
        </w:rPr>
        <w:lastRenderedPageBreak/>
        <w:t>En economía, en el Cuadro de Mando (</w:t>
      </w:r>
      <w:hyperlink r:id="rId7" w:history="1">
        <w:r w:rsidR="00C0784B" w:rsidRPr="00505256">
          <w:rPr>
            <w:rStyle w:val="Hipervnculo"/>
            <w:rFonts w:ascii="Futura Round" w:hAnsi="Futura Round"/>
          </w:rPr>
          <w:t>https://ebropolis.es/observatorio-urbano/cuadro-de-mando/</w:t>
        </w:r>
      </w:hyperlink>
      <w:r w:rsidR="00C0784B">
        <w:rPr>
          <w:rFonts w:ascii="Futura Round" w:hAnsi="Futura Round"/>
        </w:rPr>
        <w:t xml:space="preserve">) </w:t>
      </w:r>
      <w:r>
        <w:rPr>
          <w:rFonts w:ascii="Futura Round" w:hAnsi="Futura Round"/>
        </w:rPr>
        <w:t xml:space="preserve">se pueden consultar los datos </w:t>
      </w:r>
      <w:r w:rsidRPr="00E21E08">
        <w:rPr>
          <w:rFonts w:ascii="Futura Round" w:hAnsi="Futura Round"/>
        </w:rPr>
        <w:t>relativos</w:t>
      </w:r>
      <w:r w:rsidR="003E5390" w:rsidRPr="00E21E08">
        <w:rPr>
          <w:rFonts w:ascii="Futura Round" w:hAnsi="Futura Round"/>
        </w:rPr>
        <w:t xml:space="preserve"> </w:t>
      </w:r>
      <w:r w:rsidR="00250A98" w:rsidRPr="00E21E08">
        <w:rPr>
          <w:rFonts w:ascii="Futura Round" w:hAnsi="Futura Round"/>
        </w:rPr>
        <w:t xml:space="preserve">a </w:t>
      </w:r>
      <w:r w:rsidR="003E5390" w:rsidRPr="00E21E08">
        <w:rPr>
          <w:rFonts w:ascii="Futura Round" w:hAnsi="Futura Round"/>
        </w:rPr>
        <w:t xml:space="preserve">2024 </w:t>
      </w:r>
      <w:r w:rsidR="0075274E" w:rsidRPr="00E21E08">
        <w:rPr>
          <w:rFonts w:ascii="Futura Round" w:hAnsi="Futura Round"/>
        </w:rPr>
        <w:t>que han sido actualizados hasta el</w:t>
      </w:r>
      <w:r w:rsidR="00A50413" w:rsidRPr="00E21E08">
        <w:rPr>
          <w:rFonts w:ascii="Futura Round" w:hAnsi="Futura Round"/>
        </w:rPr>
        <w:t xml:space="preserve"> momento. Por </w:t>
      </w:r>
      <w:proofErr w:type="gramStart"/>
      <w:r w:rsidR="00A50413" w:rsidRPr="00E21E08">
        <w:rPr>
          <w:rFonts w:ascii="Futura Round" w:hAnsi="Futura Round"/>
        </w:rPr>
        <w:t>ejemplo</w:t>
      </w:r>
      <w:proofErr w:type="gramEnd"/>
      <w:r w:rsidR="00A50413" w:rsidRPr="00E21E08">
        <w:rPr>
          <w:rFonts w:ascii="Futura Round" w:hAnsi="Futura Round"/>
        </w:rPr>
        <w:t xml:space="preserve"> los</w:t>
      </w:r>
      <w:r w:rsidR="003E5390" w:rsidRPr="00E21E08">
        <w:rPr>
          <w:rFonts w:ascii="Futura Round" w:hAnsi="Futura Round"/>
        </w:rPr>
        <w:t xml:space="preserve"> </w:t>
      </w:r>
      <w:r w:rsidR="00E21E08" w:rsidRPr="00E21E08">
        <w:rPr>
          <w:rFonts w:ascii="Futura Round" w:hAnsi="Futura Round"/>
        </w:rPr>
        <w:t>p</w:t>
      </w:r>
      <w:r w:rsidR="003E5390" w:rsidRPr="00E21E08">
        <w:rPr>
          <w:rFonts w:ascii="Futura Round" w:hAnsi="Futura Round"/>
        </w:rPr>
        <w:t xml:space="preserve">asajeros por vía aérea, que </w:t>
      </w:r>
      <w:r w:rsidR="003E5390">
        <w:rPr>
          <w:rFonts w:ascii="Futura Round" w:hAnsi="Futura Round"/>
        </w:rPr>
        <w:t xml:space="preserve">ascienden a </w:t>
      </w:r>
      <w:r w:rsidR="003E5390" w:rsidRPr="003E5390">
        <w:rPr>
          <w:rFonts w:ascii="Futura Round" w:hAnsi="Futura Round"/>
        </w:rPr>
        <w:t>694.355</w:t>
      </w:r>
      <w:r w:rsidR="003E5390">
        <w:rPr>
          <w:rFonts w:ascii="Futura Round" w:hAnsi="Futura Round"/>
        </w:rPr>
        <w:t>, el</w:t>
      </w:r>
      <w:r w:rsidR="003E5390" w:rsidRPr="003E5390">
        <w:rPr>
          <w:rFonts w:ascii="Futura Round" w:hAnsi="Futura Round"/>
        </w:rPr>
        <w:t xml:space="preserve"> dato más alto de toda la serie</w:t>
      </w:r>
      <w:r w:rsidR="003E5390">
        <w:rPr>
          <w:rFonts w:ascii="Futura Round" w:hAnsi="Futura Round"/>
        </w:rPr>
        <w:t xml:space="preserve">, </w:t>
      </w:r>
      <w:r w:rsidR="00C75F52">
        <w:rPr>
          <w:rFonts w:ascii="Futura Round" w:hAnsi="Futura Round"/>
        </w:rPr>
        <w:t xml:space="preserve">y </w:t>
      </w:r>
      <w:r w:rsidR="003E5390">
        <w:rPr>
          <w:rFonts w:ascii="Futura Round" w:hAnsi="Futura Round"/>
        </w:rPr>
        <w:t>el t</w:t>
      </w:r>
      <w:r w:rsidR="003E5390" w:rsidRPr="003E5390">
        <w:rPr>
          <w:rFonts w:ascii="Futura Round" w:hAnsi="Futura Round"/>
        </w:rPr>
        <w:t>ráfico de mercancías por vía aérea</w:t>
      </w:r>
      <w:r w:rsidR="003E5390">
        <w:rPr>
          <w:rFonts w:ascii="Futura Round" w:hAnsi="Futura Round"/>
        </w:rPr>
        <w:t>, que</w:t>
      </w:r>
      <w:r w:rsidR="00D46F21">
        <w:rPr>
          <w:rFonts w:ascii="Futura Round" w:hAnsi="Futura Round"/>
        </w:rPr>
        <w:t>,</w:t>
      </w:r>
      <w:r w:rsidR="003E5390">
        <w:rPr>
          <w:rFonts w:ascii="Futura Round" w:hAnsi="Futura Round"/>
        </w:rPr>
        <w:t xml:space="preserve"> con </w:t>
      </w:r>
      <w:r w:rsidR="003E5390" w:rsidRPr="003E5390">
        <w:rPr>
          <w:rFonts w:ascii="Futura Round" w:hAnsi="Futura Round"/>
        </w:rPr>
        <w:t>181.408 toneladas</w:t>
      </w:r>
      <w:r w:rsidR="007C55C1">
        <w:rPr>
          <w:rFonts w:ascii="Futura Round" w:hAnsi="Futura Round"/>
        </w:rPr>
        <w:t>, crece</w:t>
      </w:r>
      <w:r w:rsidR="003E5390" w:rsidRPr="003E5390">
        <w:rPr>
          <w:rFonts w:ascii="Futura Round" w:hAnsi="Futura Round"/>
        </w:rPr>
        <w:t xml:space="preserve"> casi un 40% </w:t>
      </w:r>
      <w:r w:rsidR="007C55C1">
        <w:rPr>
          <w:rFonts w:ascii="Futura Round" w:hAnsi="Futura Round"/>
        </w:rPr>
        <w:t xml:space="preserve">respecto a </w:t>
      </w:r>
      <w:r w:rsidR="003E5390" w:rsidRPr="003E5390">
        <w:rPr>
          <w:rFonts w:ascii="Futura Round" w:hAnsi="Futura Round"/>
        </w:rPr>
        <w:t>2023</w:t>
      </w:r>
      <w:r w:rsidR="007C55C1">
        <w:rPr>
          <w:rFonts w:ascii="Futura Round" w:hAnsi="Futura Round"/>
        </w:rPr>
        <w:t xml:space="preserve">. En este apartado, el turismo mejora sus datos con </w:t>
      </w:r>
      <w:r w:rsidR="003E5390" w:rsidRPr="003E5390">
        <w:rPr>
          <w:rFonts w:ascii="Futura Round" w:hAnsi="Futura Round"/>
        </w:rPr>
        <w:t>2,86 millones</w:t>
      </w:r>
      <w:r w:rsidR="007C55C1">
        <w:rPr>
          <w:rFonts w:ascii="Futura Round" w:hAnsi="Futura Round"/>
        </w:rPr>
        <w:t xml:space="preserve"> de pernoctaciones</w:t>
      </w:r>
      <w:r w:rsidR="003E5390" w:rsidRPr="003E5390">
        <w:rPr>
          <w:rFonts w:ascii="Futura Round" w:hAnsi="Futura Round"/>
        </w:rPr>
        <w:t xml:space="preserve"> en la provincia de Zaragoza (5% más que en 2023</w:t>
      </w:r>
      <w:r w:rsidR="007C55C1">
        <w:rPr>
          <w:rFonts w:ascii="Futura Round" w:hAnsi="Futura Round"/>
        </w:rPr>
        <w:t>)</w:t>
      </w:r>
      <w:r w:rsidR="007A371E">
        <w:rPr>
          <w:rFonts w:ascii="Futura Round" w:hAnsi="Futura Round"/>
        </w:rPr>
        <w:t>.</w:t>
      </w:r>
    </w:p>
    <w:p w14:paraId="246B16EF" w14:textId="0659CF37" w:rsidR="00942C1D" w:rsidRDefault="004836AF" w:rsidP="00C8227C">
      <w:pPr>
        <w:jc w:val="both"/>
        <w:rPr>
          <w:rFonts w:ascii="Futura Round" w:hAnsi="Futura Round"/>
        </w:rPr>
      </w:pPr>
      <w:r w:rsidRPr="007A244C">
        <w:rPr>
          <w:rFonts w:ascii="Futura Round" w:hAnsi="Futura Round"/>
        </w:rPr>
        <w:t>L</w:t>
      </w:r>
      <w:r w:rsidR="009A0E08" w:rsidRPr="007A244C">
        <w:rPr>
          <w:rFonts w:ascii="Futura Round" w:hAnsi="Futura Round"/>
        </w:rPr>
        <w:t>os indicadores rela</w:t>
      </w:r>
      <w:r w:rsidRPr="007A244C">
        <w:rPr>
          <w:rFonts w:ascii="Futura Round" w:hAnsi="Futura Round"/>
        </w:rPr>
        <w:t xml:space="preserve">cionados con el </w:t>
      </w:r>
      <w:r w:rsidR="009A0E08">
        <w:rPr>
          <w:rFonts w:ascii="Futura Round" w:hAnsi="Futura Round"/>
        </w:rPr>
        <w:t>agua se mantienen</w:t>
      </w:r>
      <w:r w:rsidR="006534A3">
        <w:rPr>
          <w:rFonts w:ascii="Futura Round" w:hAnsi="Futura Round"/>
        </w:rPr>
        <w:t xml:space="preserve"> excepto el de captación</w:t>
      </w:r>
      <w:r w:rsidR="00464829">
        <w:rPr>
          <w:rFonts w:ascii="Futura Round" w:hAnsi="Futura Round"/>
        </w:rPr>
        <w:t>,</w:t>
      </w:r>
      <w:r w:rsidR="006534A3">
        <w:rPr>
          <w:rFonts w:ascii="Futura Round" w:hAnsi="Futura Round"/>
        </w:rPr>
        <w:t xml:space="preserve"> que mejora al aumentar la aportada por el sistema de</w:t>
      </w:r>
      <w:r w:rsidR="009A0E08" w:rsidRPr="009A0E08">
        <w:rPr>
          <w:rFonts w:ascii="Futura Round" w:hAnsi="Futura Round"/>
        </w:rPr>
        <w:t xml:space="preserve"> Yesa</w:t>
      </w:r>
      <w:r w:rsidR="00464829">
        <w:rPr>
          <w:rFonts w:ascii="Futura Round" w:hAnsi="Futura Round"/>
        </w:rPr>
        <w:t xml:space="preserve"> hasta el 91,3%</w:t>
      </w:r>
      <w:r w:rsidR="006534A3">
        <w:rPr>
          <w:rFonts w:ascii="Futura Round" w:hAnsi="Futura Round"/>
        </w:rPr>
        <w:t>.</w:t>
      </w:r>
    </w:p>
    <w:p w14:paraId="1DC4E1D6" w14:textId="29C472CD" w:rsidR="00F821D3" w:rsidRPr="00F821D3" w:rsidRDefault="00C8227C" w:rsidP="00C91C68">
      <w:pPr>
        <w:jc w:val="both"/>
        <w:rPr>
          <w:rFonts w:ascii="Futura Round" w:hAnsi="Futura Round"/>
        </w:rPr>
      </w:pPr>
      <w:r>
        <w:rPr>
          <w:rFonts w:ascii="Futura Round" w:hAnsi="Futura Round"/>
        </w:rPr>
        <w:t xml:space="preserve">En </w:t>
      </w:r>
      <w:r w:rsidRPr="007A244C">
        <w:rPr>
          <w:rFonts w:ascii="Futura Round" w:hAnsi="Futura Round"/>
        </w:rPr>
        <w:t>cambio, los</w:t>
      </w:r>
      <w:r w:rsidR="005F5BD1" w:rsidRPr="007A244C">
        <w:rPr>
          <w:rFonts w:ascii="Futura Round" w:hAnsi="Futura Round"/>
        </w:rPr>
        <w:t xml:space="preserve"> indicadores</w:t>
      </w:r>
      <w:r w:rsidRPr="007A244C">
        <w:rPr>
          <w:rFonts w:ascii="Futura Round" w:hAnsi="Futura Round"/>
        </w:rPr>
        <w:t xml:space="preserve"> </w:t>
      </w:r>
      <w:r w:rsidR="004836AF" w:rsidRPr="007A244C">
        <w:rPr>
          <w:rFonts w:ascii="Futura Round" w:hAnsi="Futura Round"/>
        </w:rPr>
        <w:t>que muestran la evol</w:t>
      </w:r>
      <w:r w:rsidR="007A244C" w:rsidRPr="007A244C">
        <w:rPr>
          <w:rFonts w:ascii="Futura Round" w:hAnsi="Futura Round"/>
        </w:rPr>
        <w:t xml:space="preserve">ución de distintos aspectos de </w:t>
      </w:r>
      <w:r w:rsidRPr="007A244C">
        <w:rPr>
          <w:rFonts w:ascii="Futura Round" w:hAnsi="Futura Round"/>
        </w:rPr>
        <w:t>e</w:t>
      </w:r>
      <w:r w:rsidR="00F821D3" w:rsidRPr="007A244C">
        <w:rPr>
          <w:rFonts w:ascii="Futura Round" w:hAnsi="Futura Round"/>
        </w:rPr>
        <w:t>duca</w:t>
      </w:r>
      <w:r w:rsidRPr="007A244C">
        <w:rPr>
          <w:rFonts w:ascii="Futura Round" w:hAnsi="Futura Round"/>
        </w:rPr>
        <w:t>ción</w:t>
      </w:r>
      <w:r w:rsidR="00C47A5A">
        <w:rPr>
          <w:rFonts w:ascii="Futura Round" w:hAnsi="Futura Round"/>
        </w:rPr>
        <w:t xml:space="preserve"> y universidad</w:t>
      </w:r>
      <w:r>
        <w:rPr>
          <w:rFonts w:ascii="Futura Round" w:hAnsi="Futura Round"/>
        </w:rPr>
        <w:t xml:space="preserve"> o</w:t>
      </w:r>
      <w:r w:rsidR="00F821D3" w:rsidRPr="00F821D3">
        <w:rPr>
          <w:rFonts w:ascii="Futura Round" w:hAnsi="Futura Round"/>
        </w:rPr>
        <w:t xml:space="preserve"> pobreza</w:t>
      </w:r>
      <w:r w:rsidR="007B1F94">
        <w:rPr>
          <w:rFonts w:ascii="Futura Round" w:hAnsi="Futura Round"/>
        </w:rPr>
        <w:t xml:space="preserve"> y exclusión</w:t>
      </w:r>
      <w:r w:rsidR="005F5BD1">
        <w:rPr>
          <w:rFonts w:ascii="Futura Round" w:hAnsi="Futura Round"/>
        </w:rPr>
        <w:t>, así como las exportaciones</w:t>
      </w:r>
      <w:r w:rsidR="00240DE0">
        <w:rPr>
          <w:rFonts w:ascii="Futura Round" w:hAnsi="Futura Round"/>
        </w:rPr>
        <w:t xml:space="preserve">, </w:t>
      </w:r>
      <w:r w:rsidR="00F821D3" w:rsidRPr="00F821D3">
        <w:rPr>
          <w:rFonts w:ascii="Futura Round" w:hAnsi="Futura Round"/>
        </w:rPr>
        <w:t xml:space="preserve">pierden peso en </w:t>
      </w:r>
      <w:r>
        <w:rPr>
          <w:rFonts w:ascii="Futura Round" w:hAnsi="Futura Round"/>
        </w:rPr>
        <w:t xml:space="preserve">el </w:t>
      </w:r>
      <w:r w:rsidR="00F821D3" w:rsidRPr="00F821D3">
        <w:rPr>
          <w:rFonts w:ascii="Futura Round" w:hAnsi="Futura Round"/>
        </w:rPr>
        <w:t>conjunto de España</w:t>
      </w:r>
      <w:r>
        <w:rPr>
          <w:rFonts w:ascii="Futura Round" w:hAnsi="Futura Round"/>
        </w:rPr>
        <w:t>.</w:t>
      </w:r>
      <w:r w:rsidR="00630137">
        <w:rPr>
          <w:rFonts w:ascii="Futura Round" w:hAnsi="Futura Round"/>
        </w:rPr>
        <w:t xml:space="preserve"> </w:t>
      </w:r>
      <w:r w:rsidR="00464829">
        <w:rPr>
          <w:rFonts w:ascii="Futura Round" w:hAnsi="Futura Round"/>
        </w:rPr>
        <w:t xml:space="preserve">Así, </w:t>
      </w:r>
      <w:r w:rsidR="00C91C68">
        <w:rPr>
          <w:rFonts w:ascii="Futura Round" w:hAnsi="Futura Round"/>
        </w:rPr>
        <w:t xml:space="preserve">en educación, la tasa de abandono escolar prematuro en Aragón se sitúa en el </w:t>
      </w:r>
      <w:r w:rsidR="00C91C68" w:rsidRPr="00C91C68">
        <w:rPr>
          <w:rFonts w:ascii="Futura Round" w:hAnsi="Futura Round"/>
        </w:rPr>
        <w:t>11,9%</w:t>
      </w:r>
      <w:r w:rsidR="003C6F50">
        <w:rPr>
          <w:rFonts w:ascii="Futura Round" w:hAnsi="Futura Round"/>
        </w:rPr>
        <w:t xml:space="preserve">, </w:t>
      </w:r>
      <w:r w:rsidR="00940AF7">
        <w:rPr>
          <w:rFonts w:ascii="Futura Round" w:hAnsi="Futura Round"/>
        </w:rPr>
        <w:t>aun</w:t>
      </w:r>
      <w:r w:rsidR="003C6F50" w:rsidRPr="00E21E08">
        <w:rPr>
          <w:rFonts w:ascii="Futura Round" w:hAnsi="Futura Round"/>
        </w:rPr>
        <w:t xml:space="preserve"> </w:t>
      </w:r>
      <w:proofErr w:type="gramStart"/>
      <w:r w:rsidR="00E85D2C" w:rsidRPr="00E21E08">
        <w:rPr>
          <w:rFonts w:ascii="Futura Round" w:hAnsi="Futura Round"/>
        </w:rPr>
        <w:t>así</w:t>
      </w:r>
      <w:proofErr w:type="gramEnd"/>
      <w:r w:rsidR="00E85D2C" w:rsidRPr="00E21E08">
        <w:rPr>
          <w:rFonts w:ascii="Futura Round" w:hAnsi="Futura Round"/>
        </w:rPr>
        <w:t xml:space="preserve"> </w:t>
      </w:r>
      <w:r w:rsidR="003C6F50">
        <w:rPr>
          <w:rFonts w:ascii="Futura Round" w:hAnsi="Futura Round"/>
        </w:rPr>
        <w:t xml:space="preserve">por debajo de la media española del </w:t>
      </w:r>
      <w:r w:rsidR="00C91C68" w:rsidRPr="00C91C68">
        <w:rPr>
          <w:rFonts w:ascii="Futura Round" w:hAnsi="Futura Round"/>
        </w:rPr>
        <w:t>13%</w:t>
      </w:r>
      <w:r w:rsidR="003C6F50">
        <w:rPr>
          <w:rFonts w:ascii="Futura Round" w:hAnsi="Futura Round"/>
        </w:rPr>
        <w:t xml:space="preserve">, </w:t>
      </w:r>
      <w:r w:rsidR="00E21E08">
        <w:rPr>
          <w:rFonts w:ascii="Futura Round" w:hAnsi="Futura Round"/>
        </w:rPr>
        <w:t xml:space="preserve">y </w:t>
      </w:r>
      <w:r w:rsidR="003C6F50">
        <w:rPr>
          <w:rFonts w:ascii="Futura Round" w:hAnsi="Futura Round"/>
        </w:rPr>
        <w:t>el n</w:t>
      </w:r>
      <w:r w:rsidR="00C91C68" w:rsidRPr="00C91C68">
        <w:rPr>
          <w:rFonts w:ascii="Futura Round" w:hAnsi="Futura Round"/>
        </w:rPr>
        <w:t>ivel de educación superior entre 25 y 34 años</w:t>
      </w:r>
      <w:r w:rsidR="003C6F50">
        <w:rPr>
          <w:rFonts w:ascii="Futura Round" w:hAnsi="Futura Round"/>
        </w:rPr>
        <w:t xml:space="preserve"> está en el 47,7% frente al </w:t>
      </w:r>
      <w:r w:rsidR="00C91C68" w:rsidRPr="00C91C68">
        <w:rPr>
          <w:rFonts w:ascii="Futura Round" w:hAnsi="Futura Round"/>
        </w:rPr>
        <w:t>52,6%</w:t>
      </w:r>
      <w:r w:rsidR="003C6F50">
        <w:rPr>
          <w:rFonts w:ascii="Futura Round" w:hAnsi="Futura Round"/>
        </w:rPr>
        <w:t xml:space="preserve"> de España. </w:t>
      </w:r>
      <w:r w:rsidR="00B81CB4">
        <w:rPr>
          <w:rFonts w:ascii="Futura Round" w:hAnsi="Futura Round"/>
        </w:rPr>
        <w:t>En cuanto a la</w:t>
      </w:r>
      <w:r w:rsidR="00940AF7">
        <w:rPr>
          <w:rFonts w:ascii="Futura Round" w:hAnsi="Futura Round"/>
        </w:rPr>
        <w:t>s</w:t>
      </w:r>
      <w:r w:rsidR="00B81CB4">
        <w:rPr>
          <w:rFonts w:ascii="Futura Round" w:hAnsi="Futura Round"/>
        </w:rPr>
        <w:t xml:space="preserve"> </w:t>
      </w:r>
      <w:r w:rsidR="00464829">
        <w:rPr>
          <w:rFonts w:ascii="Futura Round" w:hAnsi="Futura Round"/>
        </w:rPr>
        <w:t>exportaciones</w:t>
      </w:r>
      <w:r w:rsidR="00B81CB4">
        <w:rPr>
          <w:rFonts w:ascii="Futura Round" w:hAnsi="Futura Round"/>
        </w:rPr>
        <w:t xml:space="preserve">, </w:t>
      </w:r>
      <w:r w:rsidR="00464829">
        <w:rPr>
          <w:rFonts w:ascii="Futura Round" w:hAnsi="Futura Round"/>
        </w:rPr>
        <w:t xml:space="preserve">la </w:t>
      </w:r>
      <w:r w:rsidR="00464829" w:rsidRPr="00240DE0">
        <w:rPr>
          <w:rFonts w:ascii="Futura Round" w:hAnsi="Futura Round"/>
        </w:rPr>
        <w:t xml:space="preserve">provincia de Zaragoza </w:t>
      </w:r>
      <w:r w:rsidR="00B81CB4">
        <w:rPr>
          <w:rFonts w:ascii="Futura Round" w:hAnsi="Futura Round"/>
        </w:rPr>
        <w:t>reduce su peso hasta el 3,6% del</w:t>
      </w:r>
      <w:r w:rsidR="00464829" w:rsidRPr="00240DE0">
        <w:rPr>
          <w:rFonts w:ascii="Futura Round" w:hAnsi="Futura Round"/>
        </w:rPr>
        <w:t xml:space="preserve"> total nacional</w:t>
      </w:r>
      <w:r w:rsidR="00B81CB4">
        <w:rPr>
          <w:rFonts w:ascii="Futura Round" w:hAnsi="Futura Round"/>
        </w:rPr>
        <w:t>.</w:t>
      </w:r>
    </w:p>
    <w:p w14:paraId="575A9DDE" w14:textId="77777777" w:rsidR="00F821D3" w:rsidRPr="00A66118" w:rsidRDefault="00F821D3" w:rsidP="000D4176">
      <w:pPr>
        <w:jc w:val="both"/>
        <w:rPr>
          <w:rFonts w:ascii="Futura Round" w:hAnsi="Futura Round"/>
        </w:rPr>
      </w:pPr>
    </w:p>
    <w:sectPr w:rsidR="00F821D3" w:rsidRPr="00A6611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EFBCC" w14:textId="77777777" w:rsidR="00384434" w:rsidRDefault="00384434" w:rsidP="00137690">
      <w:pPr>
        <w:spacing w:after="0" w:line="240" w:lineRule="auto"/>
      </w:pPr>
      <w:r>
        <w:separator/>
      </w:r>
    </w:p>
  </w:endnote>
  <w:endnote w:type="continuationSeparator" w:id="0">
    <w:p w14:paraId="2F7E49E3" w14:textId="77777777" w:rsidR="00384434" w:rsidRDefault="00384434" w:rsidP="00137690">
      <w:pPr>
        <w:spacing w:after="0" w:line="240" w:lineRule="auto"/>
      </w:pPr>
      <w:r>
        <w:continuationSeparator/>
      </w:r>
    </w:p>
  </w:endnote>
  <w:endnote w:type="continuationNotice" w:id="1">
    <w:p w14:paraId="687F2E4A" w14:textId="77777777" w:rsidR="00384434" w:rsidRDefault="003844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Roun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utura Round Demi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A23A" w14:textId="77777777" w:rsidR="00384434" w:rsidRDefault="00384434" w:rsidP="00137690">
      <w:pPr>
        <w:spacing w:after="0" w:line="240" w:lineRule="auto"/>
      </w:pPr>
      <w:r>
        <w:separator/>
      </w:r>
    </w:p>
  </w:footnote>
  <w:footnote w:type="continuationSeparator" w:id="0">
    <w:p w14:paraId="1DD7C9E9" w14:textId="77777777" w:rsidR="00384434" w:rsidRDefault="00384434" w:rsidP="00137690">
      <w:pPr>
        <w:spacing w:after="0" w:line="240" w:lineRule="auto"/>
      </w:pPr>
      <w:r>
        <w:continuationSeparator/>
      </w:r>
    </w:p>
  </w:footnote>
  <w:footnote w:type="continuationNotice" w:id="1">
    <w:p w14:paraId="421F485F" w14:textId="77777777" w:rsidR="00384434" w:rsidRDefault="003844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59AE" w14:textId="77777777" w:rsidR="00137690" w:rsidRDefault="00137690" w:rsidP="00137690">
    <w:pPr>
      <w:pStyle w:val="Encabezado"/>
      <w:rPr>
        <w:rFonts w:ascii="Futura Round Demi" w:hAnsi="Futura Round Demi"/>
      </w:rPr>
    </w:pPr>
    <w:r>
      <w:rPr>
        <w:noProof/>
      </w:rPr>
      <w:drawing>
        <wp:inline distT="0" distB="0" distL="0" distR="0" wp14:anchorId="0EF21565" wp14:editId="782B8B78">
          <wp:extent cx="1566000" cy="532800"/>
          <wp:effectExtent l="0" t="0" r="0" b="635"/>
          <wp:docPr id="1773839021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839021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53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Pr="009B3CA7">
      <w:rPr>
        <w:rFonts w:ascii="Futura Round Demi" w:hAnsi="Futura Round Demi"/>
      </w:rPr>
      <w:t>Nota de prensa</w:t>
    </w:r>
  </w:p>
  <w:p w14:paraId="30D2416C" w14:textId="77777777" w:rsidR="00137690" w:rsidRDefault="00137690" w:rsidP="001376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7D4F"/>
    <w:multiLevelType w:val="multilevel"/>
    <w:tmpl w:val="18A6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A1431"/>
    <w:multiLevelType w:val="multilevel"/>
    <w:tmpl w:val="95D2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D1B85"/>
    <w:multiLevelType w:val="hybridMultilevel"/>
    <w:tmpl w:val="D69004B4"/>
    <w:lvl w:ilvl="0" w:tplc="D716DD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AAC8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4653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3000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BC77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FE01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E0D4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7089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186D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1125C"/>
    <w:multiLevelType w:val="multilevel"/>
    <w:tmpl w:val="2612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4184F"/>
    <w:multiLevelType w:val="multilevel"/>
    <w:tmpl w:val="AABE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E3767"/>
    <w:multiLevelType w:val="multilevel"/>
    <w:tmpl w:val="30B6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62B62"/>
    <w:multiLevelType w:val="multilevel"/>
    <w:tmpl w:val="1C52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3702A"/>
    <w:multiLevelType w:val="multilevel"/>
    <w:tmpl w:val="72F8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C11D0B"/>
    <w:multiLevelType w:val="multilevel"/>
    <w:tmpl w:val="AE04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47792"/>
    <w:multiLevelType w:val="multilevel"/>
    <w:tmpl w:val="DD08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4B22CD"/>
    <w:multiLevelType w:val="multilevel"/>
    <w:tmpl w:val="7752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DB5657"/>
    <w:multiLevelType w:val="multilevel"/>
    <w:tmpl w:val="0DA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723078"/>
    <w:multiLevelType w:val="multilevel"/>
    <w:tmpl w:val="2FF2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12009">
    <w:abstractNumId w:val="9"/>
  </w:num>
  <w:num w:numId="2" w16cid:durableId="1957717546">
    <w:abstractNumId w:val="4"/>
  </w:num>
  <w:num w:numId="3" w16cid:durableId="1995331113">
    <w:abstractNumId w:val="3"/>
  </w:num>
  <w:num w:numId="4" w16cid:durableId="1544713876">
    <w:abstractNumId w:val="5"/>
  </w:num>
  <w:num w:numId="5" w16cid:durableId="983631016">
    <w:abstractNumId w:val="7"/>
  </w:num>
  <w:num w:numId="6" w16cid:durableId="536740601">
    <w:abstractNumId w:val="8"/>
  </w:num>
  <w:num w:numId="7" w16cid:durableId="251135244">
    <w:abstractNumId w:val="10"/>
  </w:num>
  <w:num w:numId="8" w16cid:durableId="358628649">
    <w:abstractNumId w:val="6"/>
  </w:num>
  <w:num w:numId="9" w16cid:durableId="1537892134">
    <w:abstractNumId w:val="0"/>
  </w:num>
  <w:num w:numId="10" w16cid:durableId="1156343404">
    <w:abstractNumId w:val="11"/>
  </w:num>
  <w:num w:numId="11" w16cid:durableId="2101560047">
    <w:abstractNumId w:val="1"/>
  </w:num>
  <w:num w:numId="12" w16cid:durableId="1371690556">
    <w:abstractNumId w:val="12"/>
  </w:num>
  <w:num w:numId="13" w16cid:durableId="1629967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4F"/>
    <w:rsid w:val="00016C08"/>
    <w:rsid w:val="00021ED0"/>
    <w:rsid w:val="0002209B"/>
    <w:rsid w:val="00070712"/>
    <w:rsid w:val="000751EA"/>
    <w:rsid w:val="00097411"/>
    <w:rsid w:val="000D4176"/>
    <w:rsid w:val="000F2531"/>
    <w:rsid w:val="000F26D0"/>
    <w:rsid w:val="000F32E0"/>
    <w:rsid w:val="0011075E"/>
    <w:rsid w:val="00137690"/>
    <w:rsid w:val="00154AF8"/>
    <w:rsid w:val="00161EE0"/>
    <w:rsid w:val="00164BAD"/>
    <w:rsid w:val="0017075A"/>
    <w:rsid w:val="00171466"/>
    <w:rsid w:val="00173C46"/>
    <w:rsid w:val="001740BB"/>
    <w:rsid w:val="00175B50"/>
    <w:rsid w:val="00187D9D"/>
    <w:rsid w:val="001A0624"/>
    <w:rsid w:val="001A4337"/>
    <w:rsid w:val="001B61AF"/>
    <w:rsid w:val="001B78A2"/>
    <w:rsid w:val="001C35B7"/>
    <w:rsid w:val="001C62C0"/>
    <w:rsid w:val="001D7BA8"/>
    <w:rsid w:val="0020337C"/>
    <w:rsid w:val="00217742"/>
    <w:rsid w:val="00221A1C"/>
    <w:rsid w:val="00240DE0"/>
    <w:rsid w:val="00250A98"/>
    <w:rsid w:val="00255546"/>
    <w:rsid w:val="00263B69"/>
    <w:rsid w:val="0027020B"/>
    <w:rsid w:val="002749B3"/>
    <w:rsid w:val="00277E25"/>
    <w:rsid w:val="002C6485"/>
    <w:rsid w:val="002C7942"/>
    <w:rsid w:val="002D604F"/>
    <w:rsid w:val="002E1403"/>
    <w:rsid w:val="002E4D55"/>
    <w:rsid w:val="002E621C"/>
    <w:rsid w:val="002F25ED"/>
    <w:rsid w:val="00333992"/>
    <w:rsid w:val="00337A57"/>
    <w:rsid w:val="00360110"/>
    <w:rsid w:val="003629DA"/>
    <w:rsid w:val="00362B02"/>
    <w:rsid w:val="00370708"/>
    <w:rsid w:val="00383553"/>
    <w:rsid w:val="00384434"/>
    <w:rsid w:val="003C6F50"/>
    <w:rsid w:val="003E22DF"/>
    <w:rsid w:val="003E5390"/>
    <w:rsid w:val="003F70D5"/>
    <w:rsid w:val="00414806"/>
    <w:rsid w:val="0042463B"/>
    <w:rsid w:val="00464829"/>
    <w:rsid w:val="0046622D"/>
    <w:rsid w:val="004707EA"/>
    <w:rsid w:val="00470A79"/>
    <w:rsid w:val="004714D4"/>
    <w:rsid w:val="00477232"/>
    <w:rsid w:val="004836AF"/>
    <w:rsid w:val="004851D1"/>
    <w:rsid w:val="00495A90"/>
    <w:rsid w:val="004977B5"/>
    <w:rsid w:val="004A05EB"/>
    <w:rsid w:val="004A196B"/>
    <w:rsid w:val="004C1810"/>
    <w:rsid w:val="004C61EC"/>
    <w:rsid w:val="004D4626"/>
    <w:rsid w:val="004E5866"/>
    <w:rsid w:val="004F30CA"/>
    <w:rsid w:val="005013DD"/>
    <w:rsid w:val="0051546E"/>
    <w:rsid w:val="00544461"/>
    <w:rsid w:val="00556956"/>
    <w:rsid w:val="00566DDD"/>
    <w:rsid w:val="00567464"/>
    <w:rsid w:val="00577BEF"/>
    <w:rsid w:val="00580266"/>
    <w:rsid w:val="0058388C"/>
    <w:rsid w:val="00585169"/>
    <w:rsid w:val="0059344D"/>
    <w:rsid w:val="005A1313"/>
    <w:rsid w:val="005A1716"/>
    <w:rsid w:val="005A571D"/>
    <w:rsid w:val="005A5F0A"/>
    <w:rsid w:val="005C59FB"/>
    <w:rsid w:val="005F5BD1"/>
    <w:rsid w:val="00600703"/>
    <w:rsid w:val="006140E4"/>
    <w:rsid w:val="00630137"/>
    <w:rsid w:val="00636547"/>
    <w:rsid w:val="006534A3"/>
    <w:rsid w:val="00671787"/>
    <w:rsid w:val="00691049"/>
    <w:rsid w:val="006B2428"/>
    <w:rsid w:val="006B6C78"/>
    <w:rsid w:val="006C00FA"/>
    <w:rsid w:val="006D049D"/>
    <w:rsid w:val="006E0EDA"/>
    <w:rsid w:val="006E1A89"/>
    <w:rsid w:val="006E498A"/>
    <w:rsid w:val="00734CAE"/>
    <w:rsid w:val="0074224F"/>
    <w:rsid w:val="0075274E"/>
    <w:rsid w:val="00767A69"/>
    <w:rsid w:val="00781809"/>
    <w:rsid w:val="00782C1F"/>
    <w:rsid w:val="00795796"/>
    <w:rsid w:val="007A244C"/>
    <w:rsid w:val="007A371E"/>
    <w:rsid w:val="007A3AE2"/>
    <w:rsid w:val="007A4528"/>
    <w:rsid w:val="007B1939"/>
    <w:rsid w:val="007B1F94"/>
    <w:rsid w:val="007B7EB7"/>
    <w:rsid w:val="007C0E1C"/>
    <w:rsid w:val="007C52D3"/>
    <w:rsid w:val="007C55C1"/>
    <w:rsid w:val="007E0400"/>
    <w:rsid w:val="007E5DAA"/>
    <w:rsid w:val="00800FAA"/>
    <w:rsid w:val="00802927"/>
    <w:rsid w:val="0082304C"/>
    <w:rsid w:val="00864E98"/>
    <w:rsid w:val="008A5271"/>
    <w:rsid w:val="008B296D"/>
    <w:rsid w:val="008B670C"/>
    <w:rsid w:val="008D0457"/>
    <w:rsid w:val="008F11E9"/>
    <w:rsid w:val="00940AF7"/>
    <w:rsid w:val="00942ACA"/>
    <w:rsid w:val="00942C1D"/>
    <w:rsid w:val="0094611F"/>
    <w:rsid w:val="00954AEA"/>
    <w:rsid w:val="009601FF"/>
    <w:rsid w:val="00984331"/>
    <w:rsid w:val="00996991"/>
    <w:rsid w:val="009A0E08"/>
    <w:rsid w:val="009A1EC3"/>
    <w:rsid w:val="009B5836"/>
    <w:rsid w:val="009B6EDD"/>
    <w:rsid w:val="009B7709"/>
    <w:rsid w:val="009C022F"/>
    <w:rsid w:val="009D0EB0"/>
    <w:rsid w:val="009D307B"/>
    <w:rsid w:val="009D3685"/>
    <w:rsid w:val="00A00FFB"/>
    <w:rsid w:val="00A02F4F"/>
    <w:rsid w:val="00A106C1"/>
    <w:rsid w:val="00A46EF5"/>
    <w:rsid w:val="00A471DD"/>
    <w:rsid w:val="00A50413"/>
    <w:rsid w:val="00A55D67"/>
    <w:rsid w:val="00A66118"/>
    <w:rsid w:val="00A87A06"/>
    <w:rsid w:val="00A97DBF"/>
    <w:rsid w:val="00AA5B76"/>
    <w:rsid w:val="00AB2BB1"/>
    <w:rsid w:val="00AC3831"/>
    <w:rsid w:val="00AC54FD"/>
    <w:rsid w:val="00AF72B7"/>
    <w:rsid w:val="00B02F43"/>
    <w:rsid w:val="00B14E6F"/>
    <w:rsid w:val="00B16253"/>
    <w:rsid w:val="00B27424"/>
    <w:rsid w:val="00B31AF9"/>
    <w:rsid w:val="00B55B86"/>
    <w:rsid w:val="00B81CB4"/>
    <w:rsid w:val="00B8459D"/>
    <w:rsid w:val="00B93779"/>
    <w:rsid w:val="00BD69E6"/>
    <w:rsid w:val="00BF3AE4"/>
    <w:rsid w:val="00C05599"/>
    <w:rsid w:val="00C0784B"/>
    <w:rsid w:val="00C16556"/>
    <w:rsid w:val="00C47A5A"/>
    <w:rsid w:val="00C52296"/>
    <w:rsid w:val="00C75F52"/>
    <w:rsid w:val="00C8227C"/>
    <w:rsid w:val="00C91C68"/>
    <w:rsid w:val="00CA14BF"/>
    <w:rsid w:val="00CA609E"/>
    <w:rsid w:val="00CC507F"/>
    <w:rsid w:val="00CC66CC"/>
    <w:rsid w:val="00CD427B"/>
    <w:rsid w:val="00CD6F78"/>
    <w:rsid w:val="00CE3ED7"/>
    <w:rsid w:val="00D05F33"/>
    <w:rsid w:val="00D22155"/>
    <w:rsid w:val="00D26E3E"/>
    <w:rsid w:val="00D27B4F"/>
    <w:rsid w:val="00D46F21"/>
    <w:rsid w:val="00D83FCF"/>
    <w:rsid w:val="00DD5987"/>
    <w:rsid w:val="00E03B8C"/>
    <w:rsid w:val="00E21E08"/>
    <w:rsid w:val="00E21F65"/>
    <w:rsid w:val="00E2717B"/>
    <w:rsid w:val="00E50EBE"/>
    <w:rsid w:val="00E60D42"/>
    <w:rsid w:val="00E6258E"/>
    <w:rsid w:val="00E6508B"/>
    <w:rsid w:val="00E73595"/>
    <w:rsid w:val="00E85D2C"/>
    <w:rsid w:val="00EA51AA"/>
    <w:rsid w:val="00EB3137"/>
    <w:rsid w:val="00EC07EF"/>
    <w:rsid w:val="00EC6651"/>
    <w:rsid w:val="00EC68F5"/>
    <w:rsid w:val="00EE26AE"/>
    <w:rsid w:val="00EF0E8B"/>
    <w:rsid w:val="00F02881"/>
    <w:rsid w:val="00F1660F"/>
    <w:rsid w:val="00F801D0"/>
    <w:rsid w:val="00F821D3"/>
    <w:rsid w:val="00F9043C"/>
    <w:rsid w:val="00F94DAD"/>
    <w:rsid w:val="00FB24FA"/>
    <w:rsid w:val="00FB5D44"/>
    <w:rsid w:val="00FC5779"/>
    <w:rsid w:val="00FF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84D8"/>
  <w15:chartTrackingRefBased/>
  <w15:docId w15:val="{4197D4EB-DA7B-403A-8E1B-55865F85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6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6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6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6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6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6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6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6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6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6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60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60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60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60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60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6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6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6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6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6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60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60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60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6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60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604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376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7690"/>
  </w:style>
  <w:style w:type="paragraph" w:styleId="Piedepgina">
    <w:name w:val="footer"/>
    <w:basedOn w:val="Normal"/>
    <w:link w:val="PiedepginaCar"/>
    <w:uiPriority w:val="99"/>
    <w:unhideWhenUsed/>
    <w:rsid w:val="001376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690"/>
  </w:style>
  <w:style w:type="character" w:styleId="Hipervnculo">
    <w:name w:val="Hyperlink"/>
    <w:basedOn w:val="Fuentedeprrafopredeter"/>
    <w:uiPriority w:val="99"/>
    <w:unhideWhenUsed/>
    <w:rsid w:val="00C0784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7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12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4188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975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675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248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643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787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692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094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143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9298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536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882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2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5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0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bropolis.es/observatorio-urbano/cuadro-de-man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1187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7703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https://ebropolis.es/observatorio-urbano/cuadro-de-mando/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Rabanaque - Planificación Ebrópolis</dc:creator>
  <cp:keywords/>
  <dc:description/>
  <cp:lastModifiedBy>Mª José Gómez – Comunicación Ebrópolis</cp:lastModifiedBy>
  <cp:revision>180</cp:revision>
  <cp:lastPrinted>2025-03-20T03:51:00Z</cp:lastPrinted>
  <dcterms:created xsi:type="dcterms:W3CDTF">2025-03-18T04:02:00Z</dcterms:created>
  <dcterms:modified xsi:type="dcterms:W3CDTF">2025-03-25T12:17:00Z</dcterms:modified>
</cp:coreProperties>
</file>